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Futu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34/F, United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95 Queensway, Admiralty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+852 2523-3588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5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Futu Receives Investigation Notice and Administrative Penalty Pre-Notification Letter from the China Securities Regulatory Commission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HONG KONG, May 22, 2026 (GLOBE NEWSWIRE) -- Futu Holdings Limited ("Futu" or the "Company") (Nasdaq: Futu), today announced that the Company received a Notice of Investigation and an Administrative Penalty Pre-Notification Letter from the China Securities Regulatory Commission and its Shenzhen bureau (collectively the "CSRC") in connection with the Company's operations in mainland China.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CSRC states that certain Futu entities in mainland China and Hong Kong (the "Related Companies"), without obtaining the requisite licenses or approval, conducted securities business, public fund sales business and futures business in mainland China, in violation of the Securities Law, the Securities Investment Fund Law, and the Futures and Derivatives Law of the People's Republic of China. The CSRC proposes to order the Related Companies to rectify or cease such activities, confiscate illegal gains, and impose fines, with the total proposed penalty amounting to approximately RMB1.85 billion (approximately USD271 million). In addition, the CSRC proposes to impose a personal fine of RMB1.25 million (approximately USD 183,575) on Mr. LI Hua, the founder and CEO of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penalty remains subject to further proceedings and the final determination by the CSRC. The Company is entitled to submit statements, present defenses, and request a hearing. The Company will fully cooperate with the CSRC and exercise its lawful rights to safeguard the legitimate interests of the Company and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maintained ongoing communication with the CSRC and implemented rectification measures in relation to its mainland China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end of the first quarter of 2026, funded accounts from mainland China accounted for approximately 13% of the Company's total funded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Meanwhile, as the Company continues to scale across international markets, the number of overseas funded accounts has continued to grow steadily.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operations in all regions outside of mainland China remain normal.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Futu Holdings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Futu Holdings Limited (Nasdaq: FUTU) is an advanced technology company transforming the investing experience by offering fully digitalized financial services. Through its proprietary digital platforms, </w:t>
      </w:r>
      <w:r>
        <w:rPr>
          <w:rFonts w:ascii="Times New Roman" w:cs="Times New Roman" w:eastAsia="Times New Roman" w:hAnsi="Times New Roman"/>
          <w:sz w:val="18"/>
          <w:szCs w:val="18"/>
          <w:i w:val="1"/>
          <w:iCs w:val="1"/>
          <w:color w:val="auto"/>
        </w:rPr>
        <w:t>Futubull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Moomoo</w:t>
      </w:r>
      <w:r>
        <w:rPr>
          <w:rFonts w:ascii="Times New Roman" w:cs="Times New Roman" w:eastAsia="Times New Roman" w:hAnsi="Times New Roman"/>
          <w:sz w:val="18"/>
          <w:szCs w:val="18"/>
          <w:color w:val="auto"/>
        </w:rPr>
        <w:t>, the Company provides a full range of investment services, including trade execution and clearing, margin financing and securities lending, and wealth management. The Company has embedded social media tools to create a network centered around its users and provide connectivity to users, investors, companies, analysts, media and key opinion leaders. The Company also provides corporate services, including IPO distribution, investor relations and ESOP solution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United States Private Securities Litigation Reform Act of 1995. Statements that are not historical facts, including statements about Futu's beliefs and expectations, are forward-looking statements. These forward-looking statements can be identified by terminology such as “will,” “expects,” “anticipates,” “future,” “intends,” “plans,” “believes,” “estimates” and similar statements. Forward-looking statements involve inherent risks and uncertainties. All information provided in this press release and in the attachments is as of the date of this press release, and Futu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ir@futuholdings.com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FUTU HOLDINGS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 Leaf Hua Li</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Leaf Hua Li</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Chairman of the Board of Directors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2026-05-22T08:17:34Z</dcterms:created>
  <dcterms:modified xsi:type="dcterms:W3CDTF">2026-05-22T08:17:34Z</dcterms:modified>
</cp:coreProperties>
</file>