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384d1_6k.htm"/>
      <w:bookmarkStart w:id="1" w:name="kstm2623384d1_6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Futu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34/F, United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 Queensway, Admiralty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2523-3588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28" w:type="dxa"/>
          <w:right w:w="0" w:type="dxa"/>
        </w:tblCellMar>
      </w:tblPr>
      <w:tblGrid>
        <w:gridCol w:w="1205"/>
        <w:gridCol w:w="60"/>
        <w:gridCol w:w="791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91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3384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910" w:type="dxa"/>
            <w:tcBorders/>
            <w:tcMar>
              <w:bottom w:w="0" w:type="dxa"/>
            </w:tcMar>
            <w:vAlign w:val="center"/>
          </w:tcPr>
          <w:p>
            <w:pPr>
              <w:pStyle w:val="TableContents"/>
              <w:bidi w:val="0"/>
              <w:spacing w:before="0" w:after="283"/>
              <w:jc w:val="left"/>
              <w:rPr/>
            </w:pPr>
            <w:hyperlink w:anchor="tm2623384d1_ex99-1.htm">
              <w:r>
                <w:rPr>
                  <w:rStyle w:val="InternetLink"/>
                </w:rPr>
                <w:t>Press Release - Futu Announces Second Quarter 2026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75"/>
        <w:gridCol w:w="485"/>
        <w:gridCol w:w="80"/>
        <w:gridCol w:w="5180"/>
      </w:tblGrid>
      <w:tr>
        <w:trPr/>
        <w:tc>
          <w:tcPr>
            <w:tcW w:w="75" w:type="dxa"/>
            <w:tcBorders/>
            <w:vAlign w:val="center"/>
          </w:tcPr>
          <w:p>
            <w:pPr>
              <w:pStyle w:val="TableContents"/>
              <w:bidi w:val="0"/>
              <w:spacing w:before="0" w:after="283"/>
              <w:jc w:val="left"/>
              <w:rPr/>
            </w:pPr>
            <w:r>
              <w:rPr/>
              <w:t> </w:t>
            </w:r>
          </w:p>
        </w:tc>
        <w:tc>
          <w:tcPr>
            <w:tcW w:w="5745" w:type="dxa"/>
            <w:gridSpan w:val="3"/>
            <w:tcBorders/>
            <w:vAlign w:val="center"/>
          </w:tcPr>
          <w:p>
            <w:pPr>
              <w:pStyle w:val="TableContents"/>
              <w:bidi w:val="0"/>
              <w:spacing w:before="0" w:after="283"/>
              <w:jc w:val="left"/>
              <w:rPr>
                <w:b/>
                <w:sz w:val="20"/>
              </w:rPr>
            </w:pPr>
            <w:r>
              <w:rPr>
                <w:b/>
                <w:sz w:val="20"/>
              </w:rPr>
              <w:t>FUTU HOLDINGS LIMITED</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By</w:t>
            </w:r>
          </w:p>
        </w:tc>
        <w:tc>
          <w:tcPr>
            <w:tcW w:w="80" w:type="dxa"/>
            <w:tcBorders/>
            <w:vAlign w:val="center"/>
          </w:tcPr>
          <w:p>
            <w:pPr>
              <w:pStyle w:val="TableContents"/>
              <w:bidi w:val="0"/>
              <w:spacing w:before="0" w:after="283"/>
              <w:jc w:val="center"/>
              <w:rPr>
                <w:sz w:val="20"/>
              </w:rPr>
            </w:pPr>
            <w:r>
              <w:rPr>
                <w:sz w:val="20"/>
              </w:rPr>
              <w:t>:</w:t>
            </w:r>
          </w:p>
        </w:tc>
        <w:tc>
          <w:tcPr>
            <w:tcW w:w="5180" w:type="dxa"/>
            <w:tcBorders>
              <w:bottom w:val="single" w:sz="8" w:space="0" w:color="000000"/>
            </w:tcBorders>
            <w:tcMar>
              <w:bottom w:w="28" w:type="dxa"/>
            </w:tcMar>
            <w:vAlign w:val="center"/>
          </w:tcPr>
          <w:p>
            <w:pPr>
              <w:pStyle w:val="TableContents"/>
              <w:bidi w:val="0"/>
              <w:spacing w:before="0" w:after="283"/>
              <w:jc w:val="left"/>
              <w:rPr/>
            </w:pPr>
            <w:r>
              <w:rPr/>
              <w:t>/s/ Leaf Hua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Name</w:t>
            </w:r>
          </w:p>
        </w:tc>
        <w:tc>
          <w:tcPr>
            <w:tcW w:w="80" w:type="dxa"/>
            <w:tcBorders/>
            <w:vAlign w:val="center"/>
          </w:tcPr>
          <w:p>
            <w:pPr>
              <w:pStyle w:val="TableContents"/>
              <w:bidi w:val="0"/>
              <w:spacing w:before="0" w:after="283"/>
              <w:jc w:val="center"/>
              <w:rPr>
                <w:sz w:val="20"/>
              </w:rPr>
            </w:pPr>
            <w:r>
              <w:rPr>
                <w:sz w:val="20"/>
              </w:rPr>
              <w:t>:</w:t>
            </w:r>
          </w:p>
        </w:tc>
        <w:tc>
          <w:tcPr>
            <w:tcW w:w="5180" w:type="dxa"/>
            <w:tcBorders/>
            <w:vAlign w:val="center"/>
          </w:tcPr>
          <w:p>
            <w:pPr>
              <w:pStyle w:val="TableContents"/>
              <w:bidi w:val="0"/>
              <w:spacing w:before="0" w:after="283"/>
              <w:jc w:val="left"/>
              <w:rPr>
                <w:sz w:val="20"/>
              </w:rPr>
            </w:pPr>
            <w:r>
              <w:rPr>
                <w:sz w:val="20"/>
              </w:rPr>
              <w:t>Leaf Hua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Title</w:t>
            </w:r>
          </w:p>
        </w:tc>
        <w:tc>
          <w:tcPr>
            <w:tcW w:w="80" w:type="dxa"/>
            <w:tcBorders/>
            <w:vAlign w:val="center"/>
          </w:tcPr>
          <w:p>
            <w:pPr>
              <w:pStyle w:val="TableContents"/>
              <w:bidi w:val="0"/>
              <w:spacing w:before="0" w:after="283"/>
              <w:jc w:val="center"/>
              <w:rPr>
                <w:sz w:val="20"/>
              </w:rPr>
            </w:pPr>
            <w:r>
              <w:rPr>
                <w:sz w:val="20"/>
              </w:rPr>
              <w:t>:</w:t>
            </w:r>
          </w:p>
        </w:tc>
        <w:tc>
          <w:tcPr>
            <w:tcW w:w="5180" w:type="dxa"/>
            <w:tcBorders/>
            <w:vAlign w:val="center"/>
          </w:tcPr>
          <w:p>
            <w:pPr>
              <w:pStyle w:val="TableContents"/>
              <w:bidi w:val="0"/>
              <w:spacing w:before="0" w:after="283"/>
              <w:jc w:val="left"/>
              <w:rPr>
                <w:sz w:val="20"/>
              </w:rPr>
            </w:pPr>
            <w:r>
              <w:rPr>
                <w:sz w:val="20"/>
              </w:rPr>
              <w:t>Chairman of the Board of Directors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3384d1_ex99-1.htm"/>
      <w:bookmarkStart w:id="3" w:name="kstm2623384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 Announces Second Quarter 2026 Unaudited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20, 2026 (GLOBE NEWSWIRE) -- Futu Holdings Limited (“Futu” or the “Company”) (Nasdaq: FUTU), a leading tech-driven online brokerage and wealth management platform,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Operational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rPr>
            </w:pPr>
            <w:r>
              <w:rPr>
                <w:rFonts w:ascii="Symbol" w:hAnsi="Symbol"/>
              </w:rPr>
              <w:t>·</w:t>
            </w:r>
          </w:p>
        </w:tc>
        <w:tc>
          <w:tcPr>
            <w:tcW w:w="10007" w:type="dxa"/>
            <w:tcBorders/>
            <w:vAlign w:val="center"/>
          </w:tcPr>
          <w:p>
            <w:pPr>
              <w:pStyle w:val="TableContents"/>
              <w:bidi w:val="0"/>
              <w:spacing w:before="0" w:after="283"/>
              <w:jc w:val="both"/>
              <w:rPr>
                <w:sz w:val="20"/>
              </w:rPr>
            </w:pPr>
            <w:r>
              <w:rPr>
                <w:b/>
                <w:sz w:val="20"/>
              </w:rPr>
              <w:t>Total number of funded accounts</w:t>
            </w:r>
            <w:r>
              <w:rPr>
                <w:position w:val="7"/>
                <w:sz w:val="16"/>
                <w:sz w:val="20"/>
              </w:rPr>
              <w:t>1</w:t>
            </w:r>
            <w:r>
              <w:rPr>
                <w:sz w:val="20"/>
              </w:rPr>
              <w:t xml:space="preserve"> increased 33.6% year-over-year to 3,842,667 as of June 30, 2026.</w:t>
            </w:r>
          </w:p>
        </w:tc>
      </w:tr>
    </w:tbl>
    <w:tbl>
      <w:tblPr>
        <w:tblW w:w="8703" w:type="dxa"/>
        <w:jc w:val="left"/>
        <w:tblInd w:w="0" w:type="dxa"/>
        <w:tblLayout w:type="fixed"/>
        <w:tblCellMar>
          <w:top w:w="0" w:type="dxa"/>
          <w:left w:w="0" w:type="dxa"/>
          <w:bottom w:w="0" w:type="dxa"/>
          <w:right w:w="0" w:type="dxa"/>
        </w:tblCellMar>
      </w:tblPr>
      <w:tblGrid>
        <w:gridCol w:w="38"/>
        <w:gridCol w:w="125"/>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540" w:type="dxa"/>
            <w:tcBorders/>
            <w:vAlign w:val="center"/>
          </w:tcPr>
          <w:p>
            <w:pPr>
              <w:pStyle w:val="TableContents"/>
              <w:bidi w:val="0"/>
              <w:spacing w:before="0" w:after="283"/>
              <w:jc w:val="both"/>
              <w:rPr>
                <w:sz w:val="20"/>
              </w:rPr>
            </w:pPr>
            <w:r>
              <w:rPr>
                <w:b/>
                <w:sz w:val="20"/>
              </w:rPr>
              <w:t>Total number of brokerage accounts</w:t>
            </w:r>
            <w:r>
              <w:rPr>
                <w:position w:val="7"/>
                <w:sz w:val="16"/>
                <w:sz w:val="20"/>
              </w:rPr>
              <w:t>2</w:t>
            </w:r>
            <w:r>
              <w:rPr>
                <w:sz w:val="20"/>
              </w:rPr>
              <w:t xml:space="preserve"> increased 26.6% year-over-year to 6,639,583 as of June 30, 2026.</w:t>
            </w:r>
          </w:p>
        </w:tc>
      </w:tr>
    </w:tbl>
    <w:tbl>
      <w:tblPr>
        <w:tblW w:w="9003" w:type="dxa"/>
        <w:jc w:val="left"/>
        <w:tblInd w:w="0" w:type="dxa"/>
        <w:tblLayout w:type="fixed"/>
        <w:tblCellMar>
          <w:top w:w="0" w:type="dxa"/>
          <w:left w:w="0" w:type="dxa"/>
          <w:bottom w:w="0" w:type="dxa"/>
          <w:right w:w="0" w:type="dxa"/>
        </w:tblCellMar>
      </w:tblPr>
      <w:tblGrid>
        <w:gridCol w:w="38"/>
        <w:gridCol w:w="125"/>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40" w:type="dxa"/>
            <w:tcBorders/>
            <w:vAlign w:val="center"/>
          </w:tcPr>
          <w:p>
            <w:pPr>
              <w:pStyle w:val="TableContents"/>
              <w:bidi w:val="0"/>
              <w:spacing w:before="0" w:after="283"/>
              <w:jc w:val="both"/>
              <w:rPr/>
            </w:pPr>
            <w:r>
              <w:rPr>
                <w:b/>
              </w:rPr>
              <w:t>Total number of users</w:t>
            </w:r>
            <w:r>
              <w:rPr>
                <w:position w:val="7"/>
                <w:sz w:val="16"/>
                <w:sz w:val="20"/>
              </w:rPr>
              <w:t>3</w:t>
            </w:r>
            <w:r>
              <w:rPr/>
              <w:t xml:space="preserve"> increased 15.2% year-over-year to 31.3 million as of June 30, 2026.</w:t>
            </w:r>
          </w:p>
        </w:tc>
      </w:tr>
    </w:tbl>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pPr>
            <w:r>
              <w:rPr>
                <w:b/>
              </w:rPr>
              <w:t xml:space="preserve">Total client assets </w:t>
            </w:r>
            <w:r>
              <w:rPr/>
              <w:t>increased 43.6% year-over-year to HK$1.40 trillion as of June 30, 2026.</w:t>
            </w:r>
          </w:p>
        </w:tc>
      </w:tr>
    </w:tbl>
    <w:tbl>
      <w:tblPr>
        <w:tblW w:w="5000" w:type="pct"/>
        <w:jc w:val="left"/>
        <w:tblInd w:w="0" w:type="dxa"/>
        <w:tblLayout w:type="fixed"/>
        <w:tblCellMar>
          <w:top w:w="0" w:type="dxa"/>
          <w:left w:w="0" w:type="dxa"/>
          <w:bottom w:w="0" w:type="dxa"/>
          <w:right w:w="0" w:type="dxa"/>
        </w:tblCellMar>
      </w:tblPr>
      <w:tblGrid>
        <w:gridCol w:w="74"/>
        <w:gridCol w:w="209"/>
        <w:gridCol w:w="9922"/>
      </w:tblGrid>
      <w:tr>
        <w:trPr/>
        <w:tc>
          <w:tcPr>
            <w:tcW w:w="7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Symbol" w:hAnsi="Symbol"/>
              </w:rPr>
            </w:pPr>
            <w:r>
              <w:rPr>
                <w:rFonts w:ascii="Symbol" w:hAnsi="Symbol"/>
              </w:rPr>
              <w:t>·</w:t>
            </w:r>
          </w:p>
        </w:tc>
        <w:tc>
          <w:tcPr>
            <w:tcW w:w="9922" w:type="dxa"/>
            <w:tcBorders/>
            <w:vAlign w:val="center"/>
          </w:tcPr>
          <w:p>
            <w:pPr>
              <w:pStyle w:val="TableContents"/>
              <w:bidi w:val="0"/>
              <w:spacing w:before="0" w:after="283"/>
              <w:jc w:val="both"/>
              <w:rPr/>
            </w:pPr>
            <w:r>
              <w:rPr>
                <w:b/>
              </w:rPr>
              <w:t xml:space="preserve">Daily average client assets </w:t>
            </w:r>
            <w:r>
              <w:rPr/>
              <w:t>were HK$1.39 trillion in the second quarter of 2026, an increase of 55.6% from the same period in 2025.</w:t>
            </w:r>
          </w:p>
        </w:tc>
      </w:tr>
      <w:tr>
        <w:trPr/>
        <w:tc>
          <w:tcPr>
            <w:tcW w:w="74"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rFonts w:ascii="Symbol" w:hAnsi="Symbol"/>
              </w:rPr>
              <w:t>·</w:t>
            </w:r>
            <w:r>
              <w:rPr/>
              <w:t xml:space="preserve">  </w:t>
            </w:r>
          </w:p>
        </w:tc>
        <w:tc>
          <w:tcPr>
            <w:tcW w:w="9922" w:type="dxa"/>
            <w:tcBorders/>
            <w:vAlign w:val="center"/>
          </w:tcPr>
          <w:p>
            <w:pPr>
              <w:pStyle w:val="TableContents"/>
              <w:bidi w:val="0"/>
              <w:spacing w:before="0" w:after="283"/>
              <w:jc w:val="both"/>
              <w:rPr/>
            </w:pPr>
            <w:r>
              <w:rPr>
                <w:b/>
              </w:rPr>
              <w:t xml:space="preserve">Total trading volume in the second quarter of 2026 </w:t>
            </w:r>
            <w:r>
              <w:rPr/>
              <w:t>increased by 78.8% year-over-year to HK$6.42 trillion, in which trading volume for U.S. stocks was HK$5.02 trillion, and trading volume for Hong Kong stocks was HK$1.17 trillion.</w:t>
            </w:r>
          </w:p>
        </w:tc>
      </w:tr>
      <w:tr>
        <w:trPr/>
        <w:tc>
          <w:tcPr>
            <w:tcW w:w="74"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Symbol" w:hAnsi="Symbol"/>
              </w:rPr>
            </w:pPr>
            <w:r>
              <w:rPr>
                <w:rFonts w:ascii="Symbol" w:hAnsi="Symbol"/>
              </w:rPr>
              <w:t>·</w:t>
            </w:r>
          </w:p>
        </w:tc>
        <w:tc>
          <w:tcPr>
            <w:tcW w:w="9922" w:type="dxa"/>
            <w:tcBorders/>
            <w:vAlign w:val="center"/>
          </w:tcPr>
          <w:p>
            <w:pPr>
              <w:pStyle w:val="TableContents"/>
              <w:bidi w:val="0"/>
              <w:spacing w:before="0" w:after="283"/>
              <w:jc w:val="both"/>
              <w:rPr/>
            </w:pPr>
            <w:r>
              <w:rPr>
                <w:b/>
              </w:rPr>
              <w:t>Margin financing and securities lending balance</w:t>
            </w:r>
            <w:r>
              <w:rPr/>
              <w:t xml:space="preserve"> increased 85.1% year-over-year to HK$95.1 billion as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10020" w:type="dxa"/>
            <w:tcBorders/>
            <w:vAlign w:val="center"/>
          </w:tcPr>
          <w:p>
            <w:pPr>
              <w:pStyle w:val="TableContents"/>
              <w:bidi w:val="0"/>
              <w:spacing w:before="0" w:after="283"/>
              <w:jc w:val="both"/>
              <w:rPr/>
            </w:pPr>
            <w:r>
              <w:rPr>
                <w:b/>
              </w:rPr>
              <w:t>Total revenues</w:t>
            </w:r>
            <w:r>
              <w:rPr/>
              <w:t xml:space="preserve"> increased 35.6% year-over-year to HK$7,200.2 million (US$918.2 million).</w:t>
            </w:r>
          </w:p>
        </w:tc>
      </w:tr>
    </w:tbl>
    <w:tbl>
      <w:tblPr>
        <w:tblW w:w="5000" w:type="pct"/>
        <w:jc w:val="left"/>
        <w:tblInd w:w="0" w:type="dxa"/>
        <w:tblLayout w:type="fixed"/>
        <w:tblCellMar>
          <w:top w:w="0" w:type="dxa"/>
          <w:left w:w="0" w:type="dxa"/>
          <w:bottom w:w="0" w:type="dxa"/>
          <w:right w:w="0" w:type="dxa"/>
        </w:tblCellMar>
      </w:tblPr>
      <w:tblGrid>
        <w:gridCol w:w="42"/>
        <w:gridCol w:w="138"/>
        <w:gridCol w:w="10025"/>
      </w:tblGrid>
      <w:tr>
        <w:trPr/>
        <w:tc>
          <w:tcPr>
            <w:tcW w:w="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5" w:type="dxa"/>
            <w:tcBorders/>
            <w:vAlign w:val="center"/>
          </w:tcPr>
          <w:p>
            <w:pPr>
              <w:pStyle w:val="TableContents"/>
              <w:bidi w:val="0"/>
              <w:spacing w:before="0" w:after="283"/>
              <w:jc w:val="both"/>
              <w:rPr/>
            </w:pPr>
            <w:r>
              <w:rPr>
                <w:b/>
              </w:rPr>
              <w:t>Total gross profit</w:t>
            </w:r>
            <w:r>
              <w:rPr/>
              <w:t xml:space="preserve"> increased 33.9% year-over-year to HK$6,214.8 million (US$792.5 million).</w:t>
            </w:r>
          </w:p>
        </w:tc>
      </w:tr>
    </w:tbl>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both"/>
              <w:rPr/>
            </w:pPr>
            <w:r>
              <w:rPr>
                <w:b/>
              </w:rPr>
              <w:t>Net income</w:t>
            </w:r>
            <w:r>
              <w:rPr/>
              <w:t xml:space="preserve"> increased 41.6% year-over-year to HK$3,641.9 million (US$464.4 million).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Non-GAAP adjusted net income⁴</w:t>
            </w:r>
            <w:r>
              <w:rPr/>
              <w:t xml:space="preserve"> increased 40.1% year-over-year to HK$3,725.1 million (US$475.0 million).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1C1D20"/>
          <w:sz w:val="20"/>
        </w:rPr>
      </w:pPr>
      <w:r>
        <w:rPr>
          <w:rFonts w:ascii="Times New Roman;Times;Serif" w:hAnsi="Times New Roman;Times;Serif"/>
          <w:b w:val="false"/>
          <w:i w:val="false"/>
          <w:caps w:val="false"/>
          <w:smallCaps w:val="false"/>
          <w:color w:val="1C1D20"/>
          <w:sz w:val="20"/>
        </w:rPr>
        <w:t>Mr. Leaf Hua Li, Futu’s Chairman and Chief Executive Officer, said, “In the second quarter, we added 252 thousand net new funded accounts, bringing total funded accounts to 3.8 million, up 33.6% year-over-year. Growth in funded accounts this quarter was supported by continued momentum across our international markets, reinforcing the diversification of our client base. Malaysia led new funded account additions for the third consecutive quarter. Hong Kong and Singapore followed as key contributors, with new client cohorts in both markets demonstrating stronger initial monetization compared with prior periods, a signal of ongoing quality improvement in our more established markets.”</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 </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w:t>
      </w:r>
      <w:r>
        <w:rPr>
          <w:rFonts w:ascii="Times New Roman;Times;Serif" w:hAnsi="Times New Roman;Times;Serif"/>
          <w:b w:val="false"/>
          <w:i w:val="false"/>
          <w:caps w:val="false"/>
          <w:smallCaps w:val="false"/>
          <w:color w:val="1C1D20"/>
          <w:sz w:val="20"/>
        </w:rPr>
        <w:t>Total client assets were HK$1.40 trillion as of quarter end, up 43.6% year-over-year and 14.5% quarter-over-quarter. The growth was mainly attributable to higher market valuation of clients’ stock holdings, and to a lesser extent, net asset inflow. Margin financing and securities lending balance rose 30.5% quarter-over-quarter to HK$95.1 billion, driven by an active Hong Kong IPO market, alongside upbeat sentiment that fueled higher utilization of leverage.”</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number of funded accounts refers to the number of brokerage accounts with Futu that have a positive account balance. Multiple funded accounts by one client are counted as one funded account.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Multiple brokerage accounts by one client are counted as one brokerage account.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The number of users refers to the number of user accounts registered with Futu.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Non-GAAP adjusted net income is defined as net income excluding share-based compensation expenses.</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 </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w:t>
      </w:r>
      <w:r>
        <w:rPr>
          <w:rFonts w:ascii="Times New Roman;Times;Serif" w:hAnsi="Times New Roman;Times;Serif"/>
          <w:b w:val="false"/>
          <w:i w:val="false"/>
          <w:caps w:val="false"/>
          <w:smallCaps w:val="false"/>
          <w:color w:val="1C1D20"/>
          <w:sz w:val="20"/>
        </w:rPr>
        <w:t>Total trading volume reached a record HK$6.42 trillion, up 78.8% year-over-year and 54.6% quarter-over-quarter, supported by a meaningful acceleration in U.S. stock trading activity. U.S. stock trading volume rose 67.2% sequentially to HK$5.02 trillion, driven by heightened client interest in semiconductor and other AI value chain names. Hong Kong stock trading volume grew 15.9% quarter-over-quarter to HK$1.17 trillion, reflecting client engagement in semiconductor, China internet, and newly listed AI names.”</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Total client assets in wealth management increased 10.4% year-over-year and 1.0% quarter-over-quarter to HK$180.2 billion, primarily supported by growth in equity fund holdings amid strong global equity market performance. In Hong Kong, we added new global equity mutual funds to our platform and expanded thematic investor engagement around frontier areas such as the space economy. In Singapore, we further broadened our fund shelf with new local equity strategies aligned with the country's capital markets development priorities.”</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 </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w:t>
      </w:r>
      <w:r>
        <w:rPr>
          <w:rFonts w:ascii="Times New Roman;Times;Serif" w:hAnsi="Times New Roman;Times;Serif"/>
          <w:b w:val="false"/>
          <w:i w:val="false"/>
          <w:caps w:val="false"/>
          <w:smallCaps w:val="false"/>
          <w:color w:val="1C1D20"/>
          <w:sz w:val="20"/>
        </w:rPr>
        <w:t>As of quarter end, we cumulatively served 683 IPO distribution and IR clients, up 32.1% year-over-year. Against a robust Hong Kong IPO backdrop, we provided investment banking services to nearly 60% of new listings during the quarter, including those of Star Sports Medicine, Lightelligence, and Metis TechBio.”</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 </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w:t>
      </w:r>
      <w:r>
        <w:rPr>
          <w:rFonts w:ascii="Times New Roman;Times;Serif" w:hAnsi="Times New Roman;Times;Serif"/>
          <w:b w:val="false"/>
          <w:i w:val="false"/>
          <w:caps w:val="false"/>
          <w:smallCaps w:val="false"/>
          <w:color w:val="1C1D20"/>
          <w:sz w:val="20"/>
        </w:rPr>
        <w:t>In recent months, we made meaningful progress across our global franchise. In June, Moomoo launched Prediction Markets in the U.S., broadening the ways our clients can engage with financial markets and real-world developments, driving active client participation. Futu Securities also received SFC approval to launch a virtual asset financing service through our proprietary trading platform PantherTrade, further expanding our product runway within Hong Kong's evolving virtual asset framework. In July, we obtained a Type A license from the Thailand Securities and Exchange Commission, positioning us to launch Moomoo Thailand and further extend our footprint across Southeast Asia. Together, these developments deepen the product breadth and expand the geographic reach of our platform for global investors.”</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1C1D20"/>
          <w:sz w:val="20"/>
        </w:rPr>
      </w:pPr>
      <w:r>
        <w:rPr>
          <w:rFonts w:ascii="Times New Roman;Times;Serif" w:hAnsi="Times New Roman;Times;Serif"/>
          <w:b w:val="false"/>
          <w:i w:val="false"/>
          <w:caps w:val="false"/>
          <w:smallCaps w:val="false"/>
          <w:color w:val="1C1D20"/>
          <w:sz w:val="20"/>
        </w:rPr>
        <w:t>Mr. Arthur Yu Chen, Futu’s Chief Financial Officer, added, “As of June 30, 2026, we have repurchased approximately 3.8 million ADSs for an aggregate consideration of approximately US$418 million in open market transactions in accordance with the authorization under the current share repurchase program.”</w:t>
      </w:r>
    </w:p>
    <w:p>
      <w:pPr>
        <w:pStyle w:val="TextBody"/>
        <w:shd w:fill="FFFFFF" w:val="clear"/>
        <w:bidi w:val="0"/>
        <w:spacing w:before="0" w:after="0"/>
        <w:ind w:left="0" w:right="0" w:hanging="0"/>
        <w:jc w:val="both"/>
        <w:rPr>
          <w:caps w:val="false"/>
          <w:smallCaps w:val="false"/>
          <w:color w:val="1C1D20"/>
        </w:rPr>
      </w:pPr>
      <w:r>
        <w:rPr>
          <w:caps w:val="false"/>
          <w:smallCaps w:val="false"/>
          <w:color w:val="1C1D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were HK$7,200.2 million (US$918.2 million), an increase of 35.6% from HK$5,310.9 million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Brokerage commission and handling charge income was HK$3,360.6 million (US$428.5 million), an increase of 30.3% from the second quarter of 2025. This was mainly due to higher trading volume, partially offset by a decline in blended commission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HK$3,123.8 million (US$398.3 million), an increase of 36.5% from the second quarter of 2025. The increase was mainly driven by higher interest income from margin financing and bank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HK$715.8 million (US$91.3 million), an increase of 61.2% from the second quarter of 2025. The increase was primarily attributable to higher currency exchange income and IPO financing service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were HK$985.4 million (US$125.7 million), an increase of 46.9% compared to HK$670.9 million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Brokerage commission and handling charge expenses were HK$247.5 million (US$31.6 million), an increase of 54.1% from the second quarter of 2025. The increase was primarily due to higher trading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were HK$512.9 million (US$65.4 million), an increase of 35.8% from the second quarter of 2025. The increase was primarily due to higher expenses associated with our margin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Processing and servicing costs were HK$225.0 million (US$28.7 million), an increase of 69.6% from the second quarter of 2025. The increase was primarily due to increasing cloud service fees in AI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profit was HK$6,214.8 million (US$792.5 million), an increase of 33.9% from HK$4,639.9 million in the second quarter of 2025. Gross margin was 86.3%, as compared to 87.4%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HK$1,751.3 million (US$223.3 million), an increase of 35.1% from HK$1,296.0 million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HK$501.0 million (US$63.9 million), an increase of 13.4% from the second quarter of 2025. This was primarily driven by increased investment in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were HK$657.1 million (US$83.8 million), an increase of 53.1% from HK$429.1 million in the second quarter of 2025. This was driven by the increase of new funded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HK$593.1 million (US$75.6 million), an increase of 39.6% from the second quarter of 2025. The increase was primarily due to an increase in general and administrative personnel to support business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increased by 33.5% to HK$4,463.5 million (US$569.2 million) from HK$3,344.0 million in the second quarter of 2025. Operating margin declined to 62.0% from 63.0%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increased by 41.6% to HK$3,641.9 million (US$464.4 million) from HK$2,572.6 million in the second quarter of 2025. Net income margin for the second quarter of 2026 increased to 50.6% from 48.4% in the year-ago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net income increased by 40.1% to HK$3,725.1million (US$475.0 million) from the second quarter of 2025. Non-GAAP adjusted net income is defined as net income excluding share-based compensation expenses. For further information, see "Use of Non-GAAP Financial Measures" at the bottom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per American Depositary Share ("ADS") was HK$26.32 (US$3.36), compared with HK$18.48 in the second quarter of 2025. Diluted net income per ADS was HK$26.08 (US$3.33), compared with HK$18.24 in the second quarter of 2025. Each ADS represents eight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Futu's management will hold an earnings conference call on Thursday, August 20, 2026, at 7:30 AM U.S. Eastern Time (7:30 PM on the same day, Beijing/Hong Kong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all participants will need to pre-register for the conference call, using the 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https://register-conf.media-server.com/register/BIc3f2e0e4bf004756b6d281e81ca215dd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will automatically lead to the registration page of "Futu Holdings Ltd First Quarter 2026 Earnings Conference Call", where details for RSVP are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registering, all participants will be provided in confirmation emails with participant dial-in numbers and personal PINs to access the conference call. Please dial in 10 minutes prior to the call start time using the conference access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live and archived webcast of this conference call will be available at https://ir.futuholdings.com/.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Futu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 Holdings Limited (Nasdaq: FUTU) is an advanced technology company transforming the investing experience by offering fully digitalized financial services. Through its proprietary digital platforms, </w:t>
      </w:r>
      <w:r>
        <w:rPr>
          <w:rFonts w:ascii="Times New Roman;Times;Serif" w:hAnsi="Times New Roman;Times;Serif"/>
          <w:b w:val="false"/>
          <w:i/>
          <w:caps w:val="false"/>
          <w:smallCaps w:val="false"/>
          <w:sz w:val="20"/>
        </w:rPr>
        <w:t>Futubull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Moomoo</w:t>
      </w:r>
      <w:r>
        <w:rPr>
          <w:rFonts w:ascii="Times New Roman;Times;Serif" w:hAnsi="Times New Roman;Times;Serif"/>
          <w:b w:val="false"/>
          <w:i w:val="false"/>
          <w:caps w:val="false"/>
          <w:smallCaps w:val="false"/>
          <w:sz w:val="20"/>
        </w:rPr>
        <w:t>, the Company provides a full range of investment services, including trade execution and clearing, margin financing and securities lending, and wealth management. The Company has embedded social media tools to create a network centered around its users and provide connectivity to users, investors, companies, analysts, media and key opinion leaders. The Company also provides corporate services, including IPO distribution, investor relations and ESOP solution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business, the Company considers and uses non-GAAP adjusted net income, a non-GAAP measure, as a supplemental measure to review and assess its operating performance. The presentation of the non-GAAP financial measure is not intended to be considered in isolation or as a substitute for the financial information prepared and presented in accordance with U.S. GAAP. The Company defines non-GAAP adjusted net income as net income excluding share-based compensation expenses. The Company presents the non-GAAP financial measure because it is used by the management to evaluate the operating performance and formulate business plans. Non-GAAP adjusted net income enables the management to assess the Company's operating results without considering the impact of share-based compensation expenses, which are non-cash charges. The Company also believes that the use of the non-GAAP measure facilitates investors' assessment of its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net income is not defined under U.S. GAAP and is not presented in accordance with U.S. GAAP. This non-GAAP financial measure has limitations as analytical tools. One of the key limitations of using non-GAAP adjusted net income is that it does not reflect all items of expense that affect the Company's operations. Share-based compensation expenses have been and may continue to be incurred in the business and is not reflected in the presentation of non-GAAP adjusted net income. Further, the non-GAAP measure may differ from the non-GAAP information used by other companies, including peer companies, and therefore their comparability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compensates for these limitations by reconciling the non-GAAP financial measure to the nearest U.S. GAAP performance measure, all of which should be considered when evaluating the Company's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this non-GAAP financial measure, please see the table captioned "Unaudited Reconciliations of Non-GAAP and GAAP Results" set forth at the end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HK dollars ("HK$") amounts into U.S. dollars ("US$") at specified rates solely for the convenience of the reader. Unless otherwise stated, all translations from HK$ to US$ were made at the rate of HK$7.8420 to US$1.00, the noon buying rate in effect on June 30, 2026 in the H.10 statistical release of the Federal Reserve Board. The Company makes no representation that the HK$ or US$ amounts referred could be converted into US$ or HK$, as the case may be, at any particular rate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Among other things, the quotations from the management team of the Company, contain forward-looking statements. Futu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Futu's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Futu's goal and strategies; Futu's expansion plans; Futu's future business development, financial condition and results of operations; Futu's expectations regarding demand for, and market acceptance of, its credit products; Futu's expectations regarding keeping and strengthening its relationships with borrowers, institutional funding partners, merchandise suppliers and other parties it collaborates with; general economic and business conditions; and assumptions underlying or related to any of the foregoing. Further information regarding these and other risks is included in Futu's filings with the SEC. All information provided in this press release and in the attachments is as of the date of this press release, and Futu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ir@futuholdings.com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4"/>
        <w:gridCol w:w="60"/>
        <w:gridCol w:w="71"/>
        <w:gridCol w:w="1259"/>
        <w:gridCol w:w="60"/>
        <w:gridCol w:w="60"/>
        <w:gridCol w:w="60"/>
        <w:gridCol w:w="1055"/>
        <w:gridCol w:w="60"/>
        <w:gridCol w:w="60"/>
        <w:gridCol w:w="60"/>
        <w:gridCol w:w="950"/>
        <w:gridCol w:w="76"/>
      </w:tblGrid>
      <w:tr>
        <w:trPr/>
        <w:tc>
          <w:tcPr>
            <w:tcW w:w="6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3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gridSpan w:val="2"/>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10,465,888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18,380,950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2,343,911</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held on behalf of clients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113,398,356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135,824,565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17,320,143</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14,088</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deposit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25,786</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6,688,871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6,612,010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843,154</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purchased under agreements to resell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451,189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57,535</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advances-current (net of allowance of HK$374,604 thousand and HK$1,212,916 thousand as of December 31, 2025 and June 30,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64,607,370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91,875,630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11,715,842</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838,521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817,675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104,269</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18,459,373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22,416,500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2,858,518</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Clearing organizations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5,522,472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6,455,474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823,192</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management companies and fund distributors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1,997,086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65,598</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852,186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950,861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121,252</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19,335</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450,466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57,445</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223,650,618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285,219,159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36,370,718</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569,939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698,407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89,060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615,220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921,141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117,463</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advances-non-current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8,544</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3,461,431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5,701,904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727,096</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4,786,258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7,388,454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942,163</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228,436,876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292,607,613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37,312,881</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400"/>
        <w:jc w:val="left"/>
        <w:rPr>
          <w:caps w:val="false"/>
          <w:smallCaps w:val="false"/>
        </w:rPr>
      </w:pPr>
      <w:r>
        <w:rPr>
          <w:caps w:val="false"/>
          <w:smallCaps w:val="false"/>
        </w:rPr>
        <w:t> </w:t>
      </w:r>
    </w:p>
    <w:p>
      <w:pPr>
        <w:pStyle w:val="TextBody"/>
        <w:bidi w:val="0"/>
        <w:spacing w:before="0" w:after="0"/>
        <w:ind w:left="0" w:right="0" w:firstLine="540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8389" w:type="dxa"/>
        <w:jc w:val="left"/>
        <w:tblInd w:w="0" w:type="dxa"/>
        <w:tblLayout w:type="fixed"/>
        <w:tblCellMar>
          <w:top w:w="0" w:type="dxa"/>
          <w:left w:w="0" w:type="dxa"/>
          <w:bottom w:w="0" w:type="dxa"/>
          <w:right w:w="0" w:type="dxa"/>
        </w:tblCellMar>
      </w:tblPr>
      <w:tblGrid>
        <w:gridCol w:w="4190"/>
        <w:gridCol w:w="60"/>
        <w:gridCol w:w="88"/>
        <w:gridCol w:w="1551"/>
        <w:gridCol w:w="80"/>
        <w:gridCol w:w="60"/>
        <w:gridCol w:w="60"/>
        <w:gridCol w:w="1055"/>
        <w:gridCol w:w="80"/>
        <w:gridCol w:w="60"/>
        <w:gridCol w:w="60"/>
        <w:gridCol w:w="950"/>
        <w:gridCol w:w="95"/>
      </w:tblGrid>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125,249,957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145,416,920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18,543,345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38,678,396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66,150,701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8,435,438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Clearing organizations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750,964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5,119,024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652,770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management companies and fund distributors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1,277,467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12,143,237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15,735,475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2,006,564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sold under agreements to repurchase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4,743,096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11,844,449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1,510,386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211,910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4,527,129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7,842,828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1,000,105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187,700,005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252,720,741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32,226,565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682,403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87,021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188,115,754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253,403,144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32,313,586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19,158,175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14,096,984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1,797,626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(5,199,257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(3,275,796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(417,725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25,990,667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27,629,264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3,523,243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40,001,188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38,876,690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4,957,497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319,934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40,321,122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39,204,469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4,999,295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228,436,876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292,607,613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37,312,881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 HOLDINGS LIMITED</w:t>
      </w:r>
    </w:p>
    <w:p>
      <w:pPr>
        <w:pStyle w:val="TextBody"/>
        <w:bidi w:val="0"/>
        <w:spacing w:before="0" w:after="0"/>
        <w:ind w:left="17" w:right="17"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w:t>
      </w:r>
    </w:p>
    <w:p>
      <w:pPr>
        <w:pStyle w:val="TextBody"/>
        <w:bidi w:val="0"/>
        <w:spacing w:before="0" w:after="0"/>
        <w:ind w:left="17" w:right="17"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4"/>
        <w:gridCol w:w="60"/>
        <w:gridCol w:w="60"/>
        <w:gridCol w:w="800"/>
        <w:gridCol w:w="80"/>
        <w:gridCol w:w="60"/>
        <w:gridCol w:w="60"/>
        <w:gridCol w:w="800"/>
        <w:gridCol w:w="80"/>
        <w:gridCol w:w="60"/>
        <w:gridCol w:w="60"/>
        <w:gridCol w:w="665"/>
        <w:gridCol w:w="80"/>
        <w:gridCol w:w="60"/>
        <w:gridCol w:w="60"/>
        <w:gridCol w:w="830"/>
        <w:gridCol w:w="80"/>
        <w:gridCol w:w="60"/>
        <w:gridCol w:w="60"/>
        <w:gridCol w:w="830"/>
        <w:gridCol w:w="80"/>
        <w:gridCol w:w="60"/>
        <w:gridCol w:w="60"/>
        <w:gridCol w:w="740"/>
        <w:gridCol w:w="86"/>
      </w:tblGrid>
      <w:tr>
        <w:trPr/>
        <w:tc>
          <w:tcPr>
            <w:tcW w:w="4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Six Months Ended</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Revenues</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gridSpan w:val="2"/>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108"/>
              <w:jc w:val="left"/>
              <w:rPr/>
            </w:pPr>
            <w:r>
              <w:rPr/>
              <w:t> </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Brokerage commission and handling charge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2,578,602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3,360,646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428,545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4,888,822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6,002,080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765,376</w:t>
            </w:r>
          </w:p>
        </w:tc>
        <w:tc>
          <w:tcPr>
            <w:tcW w:w="86" w:type="dxa"/>
            <w:tcBorders/>
            <w:shd w:fill="FFFFFF" w:val="clear"/>
            <w:vAlign w:val="center"/>
          </w:tcPr>
          <w:p>
            <w:pPr>
              <w:pStyle w:val="TableContents"/>
              <w:bidi w:val="0"/>
              <w:spacing w:before="0" w:after="283"/>
              <w:ind w:left="0" w:right="0" w:hanging="108"/>
              <w:jc w:val="left"/>
              <w:rPr>
                <w:caps w:val="false"/>
                <w:smallCaps w:val="false"/>
              </w:rPr>
            </w:pPr>
            <w:r>
              <w:rPr>
                <w:caps w:val="false"/>
                <w:smallCaps w:val="false"/>
              </w:rPr>
              <w:t> </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2,288,156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3,123,775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398,339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4,358,625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5,774,009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736,293</w:t>
            </w:r>
          </w:p>
        </w:tc>
        <w:tc>
          <w:tcPr>
            <w:tcW w:w="86" w:type="dxa"/>
            <w:tcBorders/>
            <w:shd w:fill="CCEEFF" w:val="clear"/>
            <w:vAlign w:val="center"/>
          </w:tcPr>
          <w:p>
            <w:pPr>
              <w:pStyle w:val="TableContents"/>
              <w:bidi w:val="0"/>
              <w:spacing w:before="0" w:after="283"/>
              <w:ind w:left="0" w:right="0" w:hanging="108"/>
              <w:jc w:val="left"/>
              <w:rPr>
                <w:caps w:val="false"/>
                <w:smallCaps w:val="false"/>
              </w:rPr>
            </w:pPr>
            <w:r>
              <w:rPr>
                <w:caps w:val="false"/>
                <w:smallCaps w:val="false"/>
              </w:rPr>
              <w:t> </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444,132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715,793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91,276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758,080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1,280,115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163,238</w:t>
            </w:r>
          </w:p>
        </w:tc>
        <w:tc>
          <w:tcPr>
            <w:tcW w:w="86" w:type="dxa"/>
            <w:tcBorders/>
            <w:shd w:fill="FFFFFF" w:val="clear"/>
            <w:vAlign w:val="center"/>
          </w:tcPr>
          <w:p>
            <w:pPr>
              <w:pStyle w:val="TableContents"/>
              <w:bidi w:val="0"/>
              <w:spacing w:before="0" w:after="283"/>
              <w:ind w:left="0" w:right="0" w:hanging="108"/>
              <w:jc w:val="left"/>
              <w:rPr>
                <w:caps w:val="false"/>
                <w:smallCaps w:val="false"/>
              </w:rPr>
            </w:pPr>
            <w:r>
              <w:rPr>
                <w:caps w:val="false"/>
                <w:smallCaps w:val="false"/>
              </w:rPr>
              <w:t> </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5,310,890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7,200,214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918,160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10,005,527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13,056,204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1,664,907</w:t>
            </w:r>
          </w:p>
        </w:tc>
        <w:tc>
          <w:tcPr>
            <w:tcW w:w="86" w:type="dxa"/>
            <w:tcBorders/>
            <w:shd w:fill="CCEEFF" w:val="clear"/>
            <w:vAlign w:val="center"/>
          </w:tcPr>
          <w:p>
            <w:pPr>
              <w:pStyle w:val="TableContents"/>
              <w:bidi w:val="0"/>
              <w:spacing w:before="0" w:after="283"/>
              <w:ind w:left="0" w:right="0" w:hanging="108"/>
              <w:jc w:val="left"/>
              <w:rPr>
                <w:caps w:val="false"/>
                <w:smallCaps w:val="false"/>
              </w:rPr>
            </w:pPr>
            <w:r>
              <w:rPr>
                <w:caps w:val="false"/>
                <w:smallCaps w:val="false"/>
              </w:rPr>
              <w:t> </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08"/>
              <w:jc w:val="left"/>
              <w:rPr/>
            </w:pPr>
            <w:r>
              <w:rPr/>
              <w:t> </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Brokerage commission and handling charge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(160,597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(247,503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(31,561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(304,102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(411,977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(52,535</w:t>
            </w:r>
          </w:p>
        </w:tc>
        <w:tc>
          <w:tcPr>
            <w:tcW w:w="86" w:type="dxa"/>
            <w:tcBorders/>
            <w:shd w:fill="CCEEFF" w:val="clear"/>
            <w:vAlign w:val="center"/>
          </w:tcPr>
          <w:p>
            <w:pPr>
              <w:pStyle w:val="TableContents"/>
              <w:bidi w:val="0"/>
              <w:spacing w:before="0" w:after="283"/>
              <w:ind w:left="0" w:right="0" w:hanging="108"/>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(377,629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(512,877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(65,401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(846,962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(927,564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(118,282</w:t>
            </w:r>
          </w:p>
        </w:tc>
        <w:tc>
          <w:tcPr>
            <w:tcW w:w="86" w:type="dxa"/>
            <w:tcBorders/>
            <w:shd w:fill="FFFFFF" w:val="clear"/>
            <w:vAlign w:val="center"/>
          </w:tcPr>
          <w:p>
            <w:pPr>
              <w:pStyle w:val="TableContents"/>
              <w:bidi w:val="0"/>
              <w:spacing w:before="0" w:after="283"/>
              <w:ind w:left="0" w:right="0" w:hanging="108"/>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Processing and servicing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(132,716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(225,033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(28,696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(268,831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(395,153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(50,389</w:t>
            </w:r>
          </w:p>
        </w:tc>
        <w:tc>
          <w:tcPr>
            <w:tcW w:w="86" w:type="dxa"/>
            <w:tcBorders/>
            <w:shd w:fill="CCEEFF" w:val="clear"/>
            <w:vAlign w:val="center"/>
          </w:tcPr>
          <w:p>
            <w:pPr>
              <w:pStyle w:val="TableContents"/>
              <w:bidi w:val="0"/>
              <w:spacing w:before="0" w:after="283"/>
              <w:ind w:left="0" w:right="0" w:hanging="108"/>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(670,942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(985,413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(125,658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(1,419,895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(1,734,694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(221,206</w:t>
            </w:r>
          </w:p>
        </w:tc>
        <w:tc>
          <w:tcPr>
            <w:tcW w:w="86" w:type="dxa"/>
            <w:tcBorders/>
            <w:shd w:fill="FFFFFF" w:val="clear"/>
            <w:vAlign w:val="center"/>
          </w:tcPr>
          <w:p>
            <w:pPr>
              <w:pStyle w:val="TableContents"/>
              <w:bidi w:val="0"/>
              <w:spacing w:before="0" w:after="283"/>
              <w:ind w:left="0" w:right="0" w:hanging="108"/>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4,639,948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6,214,801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792,502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8,585,632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11,321,510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1,443,701</w:t>
            </w:r>
          </w:p>
        </w:tc>
        <w:tc>
          <w:tcPr>
            <w:tcW w:w="86" w:type="dxa"/>
            <w:tcBorders/>
            <w:shd w:fill="CCEEFF" w:val="clear"/>
            <w:vAlign w:val="center"/>
          </w:tcPr>
          <w:p>
            <w:pPr>
              <w:pStyle w:val="TableContents"/>
              <w:bidi w:val="0"/>
              <w:spacing w:before="0" w:after="283"/>
              <w:ind w:left="0" w:right="0" w:hanging="108"/>
              <w:jc w:val="left"/>
              <w:rPr>
                <w:caps w:val="false"/>
                <w:smallCaps w:val="false"/>
              </w:rPr>
            </w:pPr>
            <w:r>
              <w:rPr>
                <w:caps w:val="false"/>
                <w:smallCaps w:val="false"/>
              </w:rPr>
              <w:t> </w:t>
            </w:r>
          </w:p>
        </w:tc>
      </w:tr>
      <w:tr>
        <w:trPr/>
        <w:tc>
          <w:tcPr>
            <w:tcW w:w="4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08"/>
              <w:jc w:val="left"/>
              <w:rPr/>
            </w:pPr>
            <w:r>
              <w:rPr/>
              <w:t> </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08"/>
              <w:jc w:val="left"/>
              <w:rPr/>
            </w:pPr>
            <w:r>
              <w:rPr/>
              <w:t> </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(441,925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(501,021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(63,889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(827,904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(979,901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(124,955</w:t>
            </w:r>
          </w:p>
        </w:tc>
        <w:tc>
          <w:tcPr>
            <w:tcW w:w="86" w:type="dxa"/>
            <w:tcBorders/>
            <w:shd w:fill="FFFFFF" w:val="clear"/>
            <w:vAlign w:val="center"/>
          </w:tcPr>
          <w:p>
            <w:pPr>
              <w:pStyle w:val="TableContents"/>
              <w:bidi w:val="0"/>
              <w:spacing w:before="0" w:after="283"/>
              <w:ind w:left="0" w:right="0" w:hanging="108"/>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Selling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(429,132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(657,127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(83,796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(888,334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(1,213,878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(154,792</w:t>
            </w:r>
          </w:p>
        </w:tc>
        <w:tc>
          <w:tcPr>
            <w:tcW w:w="86" w:type="dxa"/>
            <w:tcBorders/>
            <w:shd w:fill="CCEEFF" w:val="clear"/>
            <w:vAlign w:val="center"/>
          </w:tcPr>
          <w:p>
            <w:pPr>
              <w:pStyle w:val="TableContents"/>
              <w:bidi w:val="0"/>
              <w:spacing w:before="0" w:after="283"/>
              <w:ind w:left="0" w:right="0" w:hanging="108"/>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(424,908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(593,112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(75,633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(840,153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(1,134,029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(144,610</w:t>
            </w:r>
          </w:p>
        </w:tc>
        <w:tc>
          <w:tcPr>
            <w:tcW w:w="86" w:type="dxa"/>
            <w:tcBorders/>
            <w:shd w:fill="FFFFFF" w:val="clear"/>
            <w:vAlign w:val="center"/>
          </w:tcPr>
          <w:p>
            <w:pPr>
              <w:pStyle w:val="TableContents"/>
              <w:bidi w:val="0"/>
              <w:spacing w:before="0" w:after="283"/>
              <w:ind w:left="0" w:right="0" w:hanging="108"/>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(1,295,965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(1,751,260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(223,318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(2,556,391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(3,327,808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(424,357</w:t>
            </w:r>
          </w:p>
        </w:tc>
        <w:tc>
          <w:tcPr>
            <w:tcW w:w="86" w:type="dxa"/>
            <w:tcBorders/>
            <w:shd w:fill="CCEEFF" w:val="clear"/>
            <w:vAlign w:val="center"/>
          </w:tcPr>
          <w:p>
            <w:pPr>
              <w:pStyle w:val="TableContents"/>
              <w:bidi w:val="0"/>
              <w:spacing w:before="0" w:after="283"/>
              <w:ind w:left="0" w:right="0" w:hanging="108"/>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4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08"/>
              <w:jc w:val="left"/>
              <w:rPr/>
            </w:pPr>
            <w:r>
              <w:rPr/>
              <w:t> </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3,343,983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4,463,541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569,184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6,029,241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7,993,702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1,019,344</w:t>
            </w:r>
          </w:p>
        </w:tc>
        <w:tc>
          <w:tcPr>
            <w:tcW w:w="86" w:type="dxa"/>
            <w:tcBorders/>
            <w:shd w:fill="CCEEFF" w:val="clear"/>
            <w:vAlign w:val="center"/>
          </w:tcPr>
          <w:p>
            <w:pPr>
              <w:pStyle w:val="TableContents"/>
              <w:bidi w:val="0"/>
              <w:spacing w:before="0" w:after="283"/>
              <w:ind w:left="0" w:right="0" w:hanging="108"/>
              <w:jc w:val="left"/>
              <w:rPr>
                <w:caps w:val="false"/>
                <w:smallCaps w:val="false"/>
              </w:rPr>
            </w:pPr>
            <w:r>
              <w:rPr>
                <w:caps w:val="false"/>
                <w:smallCaps w:val="false"/>
              </w:rPr>
              <w:t> </w:t>
            </w:r>
          </w:p>
        </w:tc>
      </w:tr>
      <w:tr>
        <w:trPr/>
        <w:tc>
          <w:tcPr>
            <w:tcW w:w="4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08"/>
              <w:jc w:val="left"/>
              <w:rPr/>
            </w:pPr>
            <w:r>
              <w:rPr/>
              <w:t> </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(168,114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(188,648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(24,056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(188,712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(2,322,072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(296,107</w:t>
            </w:r>
          </w:p>
        </w:tc>
        <w:tc>
          <w:tcPr>
            <w:tcW w:w="86" w:type="dxa"/>
            <w:tcBorders/>
            <w:shd w:fill="CCEEFF" w:val="clear"/>
            <w:vAlign w:val="center"/>
          </w:tcPr>
          <w:p>
            <w:pPr>
              <w:pStyle w:val="TableContents"/>
              <w:bidi w:val="0"/>
              <w:spacing w:before="0" w:after="283"/>
              <w:ind w:left="0" w:right="0" w:hanging="108"/>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4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08"/>
              <w:jc w:val="left"/>
              <w:rPr/>
            </w:pPr>
            <w:r>
              <w:rPr/>
              <w:t> </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Income before income tax expense and share of (loss)/gain from equity method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3,175,869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4,274,893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545,128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5,840,529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5,671,630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723,237</w:t>
            </w:r>
          </w:p>
        </w:tc>
        <w:tc>
          <w:tcPr>
            <w:tcW w:w="86" w:type="dxa"/>
            <w:tcBorders/>
            <w:shd w:fill="CCEEFF" w:val="clear"/>
            <w:vAlign w:val="center"/>
          </w:tcPr>
          <w:p>
            <w:pPr>
              <w:pStyle w:val="TableContents"/>
              <w:bidi w:val="0"/>
              <w:spacing w:before="0" w:after="283"/>
              <w:ind w:left="0" w:right="0" w:hanging="108"/>
              <w:jc w:val="left"/>
              <w:rPr>
                <w:caps w:val="false"/>
                <w:smallCaps w:val="false"/>
              </w:rPr>
            </w:pPr>
            <w:r>
              <w:rPr>
                <w:caps w:val="false"/>
                <w:smallCaps w:val="false"/>
              </w:rPr>
              <w:t> </w:t>
            </w:r>
          </w:p>
        </w:tc>
      </w:tr>
      <w:tr>
        <w:trPr/>
        <w:tc>
          <w:tcPr>
            <w:tcW w:w="4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08"/>
              <w:jc w:val="left"/>
              <w:rPr/>
            </w:pPr>
            <w:r>
              <w:rPr/>
              <w:t> </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(579,809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(698,375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(89,056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(1,070,768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(1,305,359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(166,457</w:t>
            </w:r>
          </w:p>
        </w:tc>
        <w:tc>
          <w:tcPr>
            <w:tcW w:w="86" w:type="dxa"/>
            <w:tcBorders/>
            <w:shd w:fill="CCEEFF" w:val="clear"/>
            <w:vAlign w:val="center"/>
          </w:tcPr>
          <w:p>
            <w:pPr>
              <w:pStyle w:val="TableContents"/>
              <w:bidi w:val="0"/>
              <w:spacing w:before="0" w:after="283"/>
              <w:ind w:left="0" w:right="0" w:hanging="108"/>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 of (loss)/gain from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(23,500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65,338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(54,497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106,570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13,590</w:t>
            </w:r>
          </w:p>
        </w:tc>
        <w:tc>
          <w:tcPr>
            <w:tcW w:w="86" w:type="dxa"/>
            <w:tcBorders/>
            <w:shd w:fill="FFFFFF" w:val="clear"/>
            <w:vAlign w:val="center"/>
          </w:tcPr>
          <w:p>
            <w:pPr>
              <w:pStyle w:val="TableContents"/>
              <w:bidi w:val="0"/>
              <w:spacing w:before="0" w:after="283"/>
              <w:ind w:left="0" w:right="0" w:hanging="108"/>
              <w:jc w:val="left"/>
              <w:rPr>
                <w:caps w:val="false"/>
                <w:smallCaps w:val="false"/>
              </w:rPr>
            </w:pPr>
            <w:r>
              <w:rPr>
                <w:caps w:val="false"/>
                <w:smallCaps w:val="false"/>
              </w:rPr>
              <w:t> </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2,572,560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3,641,856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464,404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4,715,264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4,472,841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570,370</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08"/>
              <w:jc w:val="left"/>
              <w:rPr/>
            </w:pPr>
            <w:r>
              <w:rPr/>
              <w:t> </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Attributable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Ordinary shareholders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2,574,209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3,646,775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465,031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4,719,532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4,497,325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573,492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(24,484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(3,122</w:t>
            </w:r>
          </w:p>
        </w:tc>
        <w:tc>
          <w:tcPr>
            <w:tcW w:w="86" w:type="dxa"/>
            <w:tcBorders/>
            <w:shd w:fill="FFFFFF" w:val="clear"/>
            <w:vAlign w:val="center"/>
          </w:tcPr>
          <w:p>
            <w:pPr>
              <w:pStyle w:val="TableContents"/>
              <w:bidi w:val="0"/>
              <w:spacing w:before="0" w:after="283"/>
              <w:ind w:left="0" w:right="0" w:hanging="108"/>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2,572,560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3,641,856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464,404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4,715,264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4,472,841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570,370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 HOLDINGS LIMITED</w:t>
      </w:r>
    </w:p>
    <w:p>
      <w:pPr>
        <w:pStyle w:val="TextBody"/>
        <w:bidi w:val="0"/>
        <w:spacing w:before="0" w:after="0"/>
        <w:ind w:left="17" w:right="17"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 (Continued)</w:t>
      </w:r>
    </w:p>
    <w:p>
      <w:pPr>
        <w:pStyle w:val="TextBody"/>
        <w:bidi w:val="0"/>
        <w:spacing w:before="0" w:after="0"/>
        <w:ind w:left="17" w:right="17"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for share and per share data)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0"/>
        <w:gridCol w:w="60"/>
        <w:gridCol w:w="60"/>
        <w:gridCol w:w="1055"/>
        <w:gridCol w:w="80"/>
        <w:gridCol w:w="60"/>
        <w:gridCol w:w="60"/>
        <w:gridCol w:w="1055"/>
        <w:gridCol w:w="80"/>
        <w:gridCol w:w="60"/>
        <w:gridCol w:w="60"/>
        <w:gridCol w:w="1055"/>
        <w:gridCol w:w="80"/>
        <w:gridCol w:w="60"/>
        <w:gridCol w:w="60"/>
        <w:gridCol w:w="1055"/>
        <w:gridCol w:w="80"/>
        <w:gridCol w:w="60"/>
        <w:gridCol w:w="60"/>
        <w:gridCol w:w="1055"/>
        <w:gridCol w:w="80"/>
        <w:gridCol w:w="60"/>
        <w:gridCol w:w="60"/>
        <w:gridCol w:w="1055"/>
        <w:gridCol w:w="9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0"/>
              <w:ind w:left="147" w:right="0" w:hanging="147"/>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Net income per share attributable to ordinary shareholders of the Company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18"/>
              </w:rPr>
            </w:pPr>
            <w:r>
              <w:rPr>
                <w:rFonts w:eastAsia="Times New Roman;Times;Serif"/>
                <w:b w:val="false"/>
                <w:i w:val="false"/>
                <w:caps w:val="false"/>
                <w:smallCaps w:val="false"/>
                <w:sz w:val="18"/>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18"/>
              </w:rPr>
            </w:pPr>
            <w:r>
              <w:rPr>
                <w:rFonts w:eastAsia="Times New Roman;Times;Serif"/>
                <w:b w:val="false"/>
                <w:i w:val="false"/>
                <w:caps w:val="false"/>
                <w:smallCaps w:val="false"/>
                <w:sz w:val="18"/>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income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18"/>
              </w:rPr>
            </w:pPr>
            <w:r>
              <w:rPr>
                <w:rFonts w:eastAsia="Times New Roman;Times;Serif"/>
                <w:b w:val="false"/>
                <w:i w:val="false"/>
                <w:caps w:val="false"/>
                <w:smallCaps w:val="false"/>
                <w:sz w:val="18"/>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18"/>
              </w:rPr>
            </w:pPr>
            <w:r>
              <w:rPr>
                <w:rFonts w:eastAsia="Times New Roman;Times;Serif"/>
                <w:b w:val="false"/>
                <w:i w:val="false"/>
                <w:caps w:val="false"/>
                <w:smallCaps w:val="false"/>
                <w:sz w:val="18"/>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18"/>
              </w:rPr>
            </w:pPr>
            <w:r>
              <w:rPr>
                <w:rFonts w:eastAsia="Times New Roman;Times;Serif"/>
                <w:b w:val="false"/>
                <w:i w:val="false"/>
                <w:caps w:val="false"/>
                <w:smallCaps w:val="false"/>
                <w:sz w:val="18"/>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18"/>
              </w:rPr>
            </w:pPr>
            <w:r>
              <w:rPr>
                <w:rFonts w:eastAsia="Times New Roman;Times;Serif"/>
                <w:b w:val="false"/>
                <w:i w:val="false"/>
                <w:caps w:val="false"/>
                <w:smallCaps w:val="false"/>
                <w:sz w:val="18"/>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18"/>
              </w:rPr>
            </w:pPr>
            <w:r>
              <w:rPr>
                <w:rFonts w:eastAsia="Times New Roman;Times;Serif"/>
                <w:b w:val="false"/>
                <w:i w:val="false"/>
                <w:caps w:val="false"/>
                <w:smallCaps w:val="false"/>
                <w:sz w:val="18"/>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18"/>
              </w:rPr>
            </w:pPr>
            <w:r>
              <w:rPr>
                <w:rFonts w:eastAsia="Times New Roman;Times;Serif"/>
                <w:b w:val="false"/>
                <w:i w:val="false"/>
                <w:caps w:val="false"/>
                <w:smallCaps w:val="false"/>
                <w:sz w:val="18"/>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0"/>
              <w:ind w:left="147" w:right="0" w:hanging="147"/>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Weighted average number of ordinary shares used in computing net income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18"/>
              </w:rPr>
            </w:pPr>
            <w:r>
              <w:rPr>
                <w:rFonts w:eastAsia="Times New Roman;Times;Serif"/>
                <w:b w:val="false"/>
                <w:i w:val="false"/>
                <w:caps w:val="false"/>
                <w:smallCaps w:val="false"/>
                <w:sz w:val="18"/>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18"/>
              </w:rPr>
            </w:pPr>
            <w:r>
              <w:rPr>
                <w:rFonts w:eastAsia="Times New Roman;Times;Serif"/>
                <w:b w:val="false"/>
                <w:i w:val="false"/>
                <w:caps w:val="false"/>
                <w:smallCaps w:val="false"/>
                <w:sz w:val="18"/>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1,114,047,038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1,109,913,839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1,109,913,839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1,113,738,611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1,115,651,677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1,115,651,677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1,128,991,818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1,120,132,347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1,120,132,347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1,127,802,882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1,126,861,434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1,126,861,434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2,572,560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3,641,856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464,404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4,715,264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4,472,841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570,370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Other comprehensive income/(loss),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Changes in the fair value of 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327,589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125,697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392,804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49,245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2,900,149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3,764,320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480,021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5,108,068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4,843,628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617,652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Attributable 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Ordinary shareholders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2,902,320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3,769,417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480,671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5,112,872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4,871,972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621,266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(28,344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2,900,149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3,764,320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480,021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5,108,068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4,843,628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617,652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 w:right="1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 HOLDINGS LIMITED</w:t>
      </w:r>
    </w:p>
    <w:p>
      <w:pPr>
        <w:pStyle w:val="TextBody"/>
        <w:bidi w:val="0"/>
        <w:spacing w:before="0" w:after="0"/>
        <w:ind w:left="19" w:right="19" w:hanging="0"/>
        <w:jc w:val="center"/>
        <w:rPr>
          <w:caps w:val="false"/>
          <w:smallCaps w:val="false"/>
        </w:rPr>
      </w:pPr>
      <w:r>
        <w:rPr>
          <w:caps w:val="false"/>
          <w:smallCaps w:val="false"/>
        </w:rPr>
        <w:t> </w:t>
      </w:r>
    </w:p>
    <w:p>
      <w:pPr>
        <w:pStyle w:val="TextBody"/>
        <w:bidi w:val="0"/>
        <w:spacing w:before="0" w:after="0"/>
        <w:ind w:left="19" w:right="1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RECONCILIATIONS OF NON-GAAP AND GAAP RESULTS</w:t>
      </w:r>
    </w:p>
    <w:p>
      <w:pPr>
        <w:pStyle w:val="TextBody"/>
        <w:bidi w:val="0"/>
        <w:spacing w:before="0" w:after="0"/>
        <w:ind w:left="19" w:right="19" w:hanging="0"/>
        <w:jc w:val="center"/>
        <w:rPr>
          <w:caps w:val="false"/>
          <w:smallCaps w:val="false"/>
        </w:rPr>
      </w:pPr>
      <w:r>
        <w:rPr>
          <w:caps w:val="false"/>
          <w:smallCaps w:val="false"/>
        </w:rPr>
        <w:t> </w:t>
      </w:r>
    </w:p>
    <w:p>
      <w:pPr>
        <w:pStyle w:val="TextBody"/>
        <w:bidi w:val="0"/>
        <w:spacing w:before="0" w:after="0"/>
        <w:ind w:left="19" w:right="1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8285" w:type="dxa"/>
        <w:jc w:val="left"/>
        <w:tblInd w:w="0" w:type="dxa"/>
        <w:tblLayout w:type="fixed"/>
        <w:tblCellMar>
          <w:top w:w="0" w:type="dxa"/>
          <w:left w:w="0" w:type="dxa"/>
          <w:bottom w:w="0" w:type="dxa"/>
          <w:right w:w="0" w:type="dxa"/>
        </w:tblCellMar>
      </w:tblPr>
      <w:tblGrid>
        <w:gridCol w:w="3020"/>
        <w:gridCol w:w="60"/>
        <w:gridCol w:w="60"/>
        <w:gridCol w:w="740"/>
        <w:gridCol w:w="60"/>
        <w:gridCol w:w="60"/>
        <w:gridCol w:w="60"/>
        <w:gridCol w:w="740"/>
        <w:gridCol w:w="60"/>
        <w:gridCol w:w="60"/>
        <w:gridCol w:w="60"/>
        <w:gridCol w:w="605"/>
        <w:gridCol w:w="60"/>
        <w:gridCol w:w="60"/>
        <w:gridCol w:w="60"/>
        <w:gridCol w:w="740"/>
        <w:gridCol w:w="60"/>
        <w:gridCol w:w="60"/>
        <w:gridCol w:w="60"/>
        <w:gridCol w:w="740"/>
        <w:gridCol w:w="60"/>
        <w:gridCol w:w="60"/>
        <w:gridCol w:w="60"/>
        <w:gridCol w:w="605"/>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2,572,560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3,641,856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464,404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4,715,264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4,472,841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570,370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Add: 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87,254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83,253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10,616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161,453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171,799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Adjusted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2,659,814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3,725,109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475,020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4,876,717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4,644,640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592,278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9" w:right="19"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to GAAP reconciling items have no income tax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3496</Words>
  <Characters>20722</Characters>
  <CharactersWithSpaces>25411</CharactersWithSpaces>
  <Paragraphs>2690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