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Futu Holdings Limited</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34/F, United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95 Queensway, Admiralty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+852 2523-3588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00"/>
        <w:spacing w:after="0" w:line="207" w:lineRule="exact"/>
        <w:tabs>
          <w:tab w:leader="none" w:pos="6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2"/>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4"/>
        </w:trPr>
        <w:tc>
          <w:tcPr>
            <w:tcW w:w="1360" w:type="dxa"/>
            <w:vAlign w:val="bottom"/>
            <w:tcBorders>
              <w:top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2"/>
                <w:szCs w:val="22"/>
                <w:color w:val="auto"/>
              </w:rPr>
            </w:pPr>
          </w:p>
        </w:tc>
        <w:tc>
          <w:tcPr>
            <w:tcW w:w="9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 Futu Announces First Quarter 2026 Unaudited Financial Results</w:t>
            </w:r>
          </w:p>
        </w:tc>
      </w:tr>
      <w:tr>
        <w:trPr>
          <w:trHeight w:val="695"/>
        </w:trPr>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780" w:type="dxa"/>
            <w:vAlign w:val="bottom"/>
            <w:tcBorders>
              <w:top w:val="single" w:sz="8" w:color="0000EE"/>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FUTU HOLDINGS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 Leaf Hua Li</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Leaf Hua Li</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Chairman of the Board of Directors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 Announces First Quarter 2026 Unaudited Financial Results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HONG KONG, May 28, 2026 (GLOBE NEWSWIRE) -- Futu Holdings Limited (“Futu” or the “Company”) (Nasdaq: FUTU), a leading tech-driven online brokerage and wealth management platform, today announced its unaudited financial results for the first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Operational Highlights</w:t>
      </w:r>
    </w:p>
    <w:p>
      <w:pPr>
        <w:spacing w:after="0" w:line="132"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Total number of funded accounts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34.3% year-over-year to 3,590,325 as of March 31, 2026.</w:t>
      </w:r>
    </w:p>
    <w:p>
      <w:pPr>
        <w:ind w:left="340" w:hanging="332"/>
        <w:spacing w:after="0" w:line="191" w:lineRule="auto"/>
        <w:tabs>
          <w:tab w:leader="none" w:pos="340" w:val="left"/>
        </w:tabs>
        <w:numPr>
          <w:ilvl w:val="0"/>
          <w:numId w:val="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b w:val="1"/>
          <w:bCs w:val="1"/>
          <w:color w:val="auto"/>
        </w:rPr>
        <w:t>Total number of brokerage accounts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increased 26.8% year-over-year to 6,284,404 as of March 31, 2026.</w:t>
      </w:r>
    </w:p>
    <w:p>
      <w:pPr>
        <w:ind w:left="340" w:hanging="332"/>
        <w:spacing w:after="0" w:line="180" w:lineRule="auto"/>
        <w:tabs>
          <w:tab w:leader="none" w:pos="340" w:val="left"/>
        </w:tabs>
        <w:numPr>
          <w:ilvl w:val="0"/>
          <w:numId w:val="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b w:val="1"/>
          <w:bCs w:val="1"/>
          <w:color w:val="auto"/>
        </w:rPr>
        <w:t>Total number of users</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increased 14.9% year-over-year to 30.2 million as of March 31, 2026.</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client assets </w:t>
      </w:r>
      <w:r>
        <w:rPr>
          <w:rFonts w:ascii="Times New Roman" w:cs="Times New Roman" w:eastAsia="Times New Roman" w:hAnsi="Times New Roman"/>
          <w:sz w:val="18"/>
          <w:szCs w:val="18"/>
          <w:color w:val="auto"/>
        </w:rPr>
        <w:t>increased 47.2% year-over-year to HK$1.22 trillion as of March 31, 2026.</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Daily average client assets </w:t>
      </w:r>
      <w:r>
        <w:rPr>
          <w:rFonts w:ascii="Times New Roman" w:cs="Times New Roman" w:eastAsia="Times New Roman" w:hAnsi="Times New Roman"/>
          <w:sz w:val="18"/>
          <w:szCs w:val="18"/>
          <w:color w:val="auto"/>
        </w:rPr>
        <w:t>were HK$1.27 trillion in the first quarter of 2026, an increase of 60.8% from the same period in 2025.</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trading volume in the first quarter of 2026 </w:t>
      </w:r>
      <w:r>
        <w:rPr>
          <w:rFonts w:ascii="Times New Roman" w:cs="Times New Roman" w:eastAsia="Times New Roman" w:hAnsi="Times New Roman"/>
          <w:sz w:val="18"/>
          <w:szCs w:val="18"/>
          <w:color w:val="auto"/>
        </w:rPr>
        <w:t>increased by 29.1% year-over-year to HK$4.15 trillion, in which trading volume for U.S. stocks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HK$3.00 trillion, and trading volume for Hong Kong stocks was HK$1.01 trillion.</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Margin financing and securities lending balance </w:t>
      </w:r>
      <w:r>
        <w:rPr>
          <w:rFonts w:ascii="Times New Roman" w:cs="Times New Roman" w:eastAsia="Times New Roman" w:hAnsi="Times New Roman"/>
          <w:sz w:val="18"/>
          <w:szCs w:val="18"/>
          <w:color w:val="auto"/>
        </w:rPr>
        <w:t>increased 44.9% year-over-year to HK$72.9 billion as of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24.7% year-over-year to HK$5,856.0 million (US$746.9 million).</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gross profit </w:t>
      </w:r>
      <w:r>
        <w:rPr>
          <w:rFonts w:ascii="Times New Roman" w:cs="Times New Roman" w:eastAsia="Times New Roman" w:hAnsi="Times New Roman"/>
          <w:sz w:val="18"/>
          <w:szCs w:val="18"/>
          <w:color w:val="auto"/>
        </w:rPr>
        <w:t>increased 29.4% year-over-year to HK$5,106.7 million (US$651.4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decreased 61.2% year-over-year to HK$831.0 million (US$106.0 million).</w:t>
      </w:r>
    </w:p>
    <w:p>
      <w:pPr>
        <w:spacing w:after="0" w:line="9" w:lineRule="exact"/>
        <w:rPr>
          <w:rFonts w:ascii="Times New Roman" w:cs="Times New Roman" w:eastAsia="Times New Roman" w:hAnsi="Times New Roman"/>
          <w:sz w:val="18"/>
          <w:szCs w:val="18"/>
          <w:color w:val="auto"/>
        </w:rPr>
      </w:pPr>
    </w:p>
    <w:p>
      <w:pPr>
        <w:ind w:left="340" w:hanging="332"/>
        <w:spacing w:after="0" w:line="219"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adjusted net income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decreased 58.5% year-over-year to HK$919.5 million (US$117.3 million).</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1C1D20"/>
        </w:rPr>
        <w:t>Mr. Leaf Hua Li, Futu’s Chairman and Chief Executive Officer, said, “In the first quarter, we added 225 thousand net new funded accounts, bringing total funded accounts to 3.6 million, up 34.3% year-over-year. Despite market volatility during the quarter, we continue to track toward our full-year guidance of 800 thousand net new funded accounts with confidence. Net new funded account growth was driven by broad-based strength across all markets despite market turbulence.”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C1D20"/>
        </w:rPr>
        <w:t>“Net asset inflow accelerated meaningfully primarily driven by our high-quality client base in Hong Kong and Singapore. Total client assets were HK$1.22 trillion as of quarter end, up 47.2% year-over-year and largely stable quarter-over-quarter, as robust inflow was offset by mark-to-market pressure on clients’ Hong Kong and U.S. equity holdings. Margin financing and securities lending balance rose 7.7% quarter-over-quarter to HK$72.9 billion, reflecting elevated client appetite to add exposure amid market pullbacks.”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5" w:lineRule="exact"/>
        <w:rPr>
          <w:sz w:val="20"/>
          <w:szCs w:val="20"/>
          <w:color w:val="auto"/>
        </w:rPr>
      </w:pPr>
    </w:p>
    <w:p>
      <w:pPr>
        <w:ind w:right="20" w:firstLine="8"/>
        <w:spacing w:after="0" w:line="195" w:lineRule="auto"/>
        <w:tabs>
          <w:tab w:leader="none" w:pos="126"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funded accounts refers to the number of brokerage accounts with Futu that have a positive account balance. Multiple funded accounts by one client are counted as one funded account.</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Multiple brokerage accounts by one client are counted as one brokerage account.</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number of users refers to the number of user accounts registered with Futu.</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Non-GAAP adjusted net income is defined as net income excluding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1C1D20"/>
        </w:rPr>
        <w:t>“Total trading volume climbed to a record HK$4.15 trillion, up 29.1% year-over-year and 4.4% quarter-over-quarter, as a rotation in client activity toward Hong Kong equities more than offset softer U.S. stock trading volumes. Hong Kong stock trading volume grew 22.5% quarter-over-quarter to HK$1.0 trillion, driven by continued momentum in China internet, semiconductor and newly listed AI stocks. U.S. stock trading volume was largely stable sequentially at HK$3.00 trillion, with technology stocks remaining key areas of client interest.”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client assets in wealth management increased 28.2% year-over-year and largely stable quarter-over-quarter to HK$178.4 billion. During the first quarter, we continued to broaden our product offerings to address evolving client needs. In Hong Kong, we added a space economy-themed mutual fund to our platform and expanded structured product offerings; in Japan, we partnered with Asahi Life to offer an award-winning global equity fund; and in Singapore, we added fund products under the Equity Market Development Programme to broaden clients’ access to local equity exposure.”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1C1D20"/>
        </w:rPr>
        <w:t>“As of quarter end, we have cumulatively served 625 IPO distribution and IR clients, up 25.5% year-over-year. During the first quarter, we provided IPO distribution services to a number of prominent Hong Kong listings, including MiniMax, Busy Ming, and Biren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C1D20"/>
        </w:rPr>
        <w:t>“In March, our wholly owned virtual asset exchange, PantherTrade, received its VATP license from the Hong Kong SFC to commence full-scale licensed operations, further enriching the Futu ecosystem with a broader spectrum of services and delivering a more seamless, integrated investment experience for our clients.”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C1D20"/>
        </w:rPr>
        <w:t>Mr. Arthur Yu Chen, Futu’s Chief Financial Officer, added, “On May 22, 2026, the Company received an Administrative Penalty Pre-Notification Letter from the China Securities Regulatory Commission Shenzhen Bureau in an aggregate amount of approximately RMB1.85 billion, which has been fully reflected in our first quarter financial statements as an adjusted subsequent event under U.S. GAAP. This amount does not impact our business fundamentals or financial stability. We remain focused on long-term growth across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were HK$5,856.0 million (US$746.9 million), an increase of 24.7% from HK$4,694.6 million in the first quarter of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Brokerage commission and handling charge income was HK$2,641.4 million (US$336.9 million), an increase of 14.3% from the first quarter of 2025. This was mainly due to higher trading volume, partially offset by a decline in blended commission rate.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was HK$2,650.2 million (US$338.0 million), an increase of 28.0% from the first quarter of 2025. The increase was mainly driven by higher interest income from margin financing, bank deposit and securities borrowing and lending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was HK$564.3 million (US$72.0 million), an increase of 79.8% from the first quarter of 2025. The increase was primarily attributable to higher currency exchange income, IPO financing service income and fund distribution service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costs were HK$749.3 million (US$95.6 million), largely stable compared to HK$749.0 million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Brokerage commission and handling charge expenses were HK$164.5 million (US$21.0 million), an increase of 14.6% from the first quarter of 2025. This increase was roughly in line with the growth of our brokerage commission and handling charge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expenses were HK$414.7 million (US$52.9 million), a decrease of 11.6% from the first quarter of 2025. The decrease was primarily due to lower expenses associated with our securities borrowing and lending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Processing and servicing costs were HK$170.1 million (US$21.7 million), an increase of 25.0% from the first quarter of 2025. The increase was primarily due to increasing cloud service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gross profit was HK$5,106.7 million (US$651.4 million), an increase of 29.4% from HK$3,945.7 million in the first quarter of 2025. Gross margin was 87.2%, as compared to 84.0% in the first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 were HK$1,576.5 million (US$201.1 million), an increase of 25.1% from HK$1,260.4 million in the first quarter of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HK$478.9 million (US$61.1 million), an increase of 24.1% from the first quarter of 2025. This was primarily due to an increase in research and development headcount to support strategic initiatives and new markets.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were HK$556.8 million (US$71.0 million), an increase of 21.3% from HK$459.2 million in the first quarter of 2025. This was driven by the increase of new funded accounts.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HK$540.9 million (US$69.0 million), an increase of 30.3% from the first quarter of 2025. The increase was primarily due to an increase in general and administrative personnel to support business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operations increased by 31.5% to HK$3,530.2 million (US$450.3 million) from HK$2,685.3 million in the first quarter of 2025. Operating margin increased to 60.3% from 57.2% in the first quarter of 2025 mainly due to strong topline growth and operating leverage.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decreased by 61.2% to HK$831.0 million (US$106.0 million) from HK$2,142.7 million in the first quarter of 2025. Net income margin for the first quarter of 2026 decreased to 14.2% from 45.6% in the year-ago quarter.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adjusted net income decreased by 58.5% to HK$919.5 million (US$117.3 million) from the first quarter of 2025. Non-GAAP adjusted net income is defined as net income excluding share-based compensation expenses. For further information, see "Use of Non-GAAP Financial Measures" at the bottom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income per American Depositary Share (“ADS”) was HK$6.08 (US$0.78), compared with HK$15.44 in the first quarter of 2025. Diluted net income per ADS was HK$6.00 (US$0.77), compared with HK$15.28 in the first quarter of 2025. Each ADS represents eight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announced, on May 22, 2026, the Company received a Notice of Investigation and an Administrative Penalty Pre-Notification Letter (the "Pre-Notification Letter") from the China Securities Regulatory Commission and its Shenzhen Bureau (collectively, the “CSRC”). The Pre-Notification Letter proposed penalties on the relevant Futu entities in mainland China and Hong Kong for conducting certain regulated business activities without the requisite licenses or approvals. The proposed penalties comprise (i) confiscation of illegal gains of approximately RMB470 million, and (ii) imposition of fines of approximately RMB1.38 billion, in an aggregate amount of approximately RMB1.85 billion. The unaudited financial statements for the three months ended March 31, 2026 included in this earnings release have reflected the impact of this subsequent event. These amounts were included in “Others, net” of the unaudited condensed consolidated statements of comprehensive income for the three months ended March 31, 2026.</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giving effect to this adjustment, the Company’s net income for the three months ended March 31, 2026 were approximately HK$2,922.0 million (US$372.7 million), and non-GAAP adjusted net income was approximately HK$3,010.6 million (US$384.0 million). These amounts exclude the accounting impact of the subsequent event described above, which has been reflected in the unaudited financial statements included in this earnings release. The proposed penalty remains subject to further proceedings and the final determination by the CSRC. The Company is entitled to submit statements, present defenses, and request a hearing. The Company will fully cooperate with the CSRC and exercise its lawful rights to safeguard the legitimate interests of the Company and its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18, 2025, our board of directors authorized a share repurchase program under which the Company may repurchase up to US$800 million worth of ADSs for a period ending December 31, 2027. As of the close of the U.S. market on May 27, 2026, we have repurchased approximately US$418 million worth of ADSs in open market transactions in accordance with the authorization under this share repurchase program. Subject to market conditions, the Company may continue to execute repurchases from time to time under this share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Futu's management will hold an earnings conference call on Thursday, May 28, 2026, at 7:30 AM U.S. Eastern Time (7:30 PM on the same day, Beijing/Hong Kong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all participants will need to pre-register for the conference call, using the link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https://register-conf.media-server.com/register/BIec7483756a8d4ef789028b4abb4be479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will automatically lead to the registration page of "Futu Holdings Ltd First Quarter 2026 Earnings Conference Call", where details for RSVP are needed.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registering, all participants will be provided in confirmation emails with participant dial-in numbers and personal PINs to access the conference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dial in 10 minutes prior to the call start time using the conference access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this conference call will be available at https://ir.futuholdings.com/.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Futu Holdings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Futu Holdings Limited (Nasdaq: FUTU) is an advanced technology company transforming the investing experience by offering fully digitalized financial services. Through its proprietary digital platforms, </w:t>
      </w:r>
      <w:r>
        <w:rPr>
          <w:rFonts w:ascii="Times New Roman" w:cs="Times New Roman" w:eastAsia="Times New Roman" w:hAnsi="Times New Roman"/>
          <w:sz w:val="18"/>
          <w:szCs w:val="18"/>
          <w:i w:val="1"/>
          <w:iCs w:val="1"/>
          <w:color w:val="auto"/>
        </w:rPr>
        <w:t>Futubull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Moomoo</w:t>
      </w:r>
      <w:r>
        <w:rPr>
          <w:rFonts w:ascii="Times New Roman" w:cs="Times New Roman" w:eastAsia="Times New Roman" w:hAnsi="Times New Roman"/>
          <w:sz w:val="18"/>
          <w:szCs w:val="18"/>
          <w:color w:val="auto"/>
        </w:rPr>
        <w:t>, the Company provides a full range of investment services, including trade execution and clearing, margin financing and securities lending, and wealth management. The Company has embedded social media tools to create a network centered around its users and provide connectivity to users, investors, companies, analysts, media and key opinion leaders. The Company also provides corporate services, including IPO distribution, investor relations and ESOP solution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adjusted net income, a non-GAAP measure, as a supplemental measure to review and assess its operating performance. The presentation of the non-GAAP financial measure is not intended to be considered in isolation or as a substitute for the financial information prepared and presented in accordance with U.S. GAAP. The Company defines non-GAAP adjusted net income as net income excluding share-based compensation expenses. The Company presents the non-GAAP financial measure because it is used by the management to evaluate the operating performance and formulate business plans. Non-GAAP adjusted net income enables the management to assess the Company's operating results without considering the impact of share-based compensation expenses, which are non-cash charges. The Company also believes that the use of the non-GAAP measure facilitates investors' assessment of its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Non-GAAP adjusted net income is not defined under U.S. GAAP and is not presented in accordance with U.S. GAAP. This non-GAAP financial measure has limitations as analytical tools. One of the key limitations of using non-GAAP adjusted net income is that it does not reflect all items of expense that affect the Company's operations. Share-based compensation expenses have been and may continue to be incurred in the business and is not reflected in the presentation of non-GAAP adjusted net income. Further, the non-GAAP measure may differ from the non-GAAP information used by other companies, including peer companies, and therefore their comparability may be limited.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compensates for these limitations by reconciling the non-GAAP financial measure to the nearest U.S. GAAP performance measure,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this non-GAAP financial measure, please see the table captioned "Unaudited Reconciliations of Non-GAAP and 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HK dollars ("HK$") amounts into U.S. dollars ("US$") at specified rates solely for the convenience of the reader. Unless otherwise stated, all translations from HK$ to US$ were made at the rate of HK$7.8400 to US$1.00, the noon buying rate in effect on March 31, 2026 in the H.10 statistical release of the Federal Reserve Board. The Company makes no representation that the HK$ or US$ amounts referred could be converted into US$ or HK$,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Among other things, the quotations from the management team of the Company, contain forward-looking statements. Futu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Futu's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Futu's goal and strategies; Futu's expansion plans; Futu's future business development, financial condition and results of operations; Futu's expectations regarding demand for, and market acceptance of, its credit products; Futu's expectations regarding keeping and strengthening its relationships with borrowers, institutional funding partners, merchandise suppliers and other parties it collaborates with; general economic and business conditions; and assumptions underlying or related to any of the foregoing. Further information regarding these and other risks is included in Futu's filings with the SEC. All information provided in this press release and in the attachments is as of the date of this press release, and Futu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ir@futuholdings.com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FUTU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20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HK$</w:t>
            </w:r>
          </w:p>
        </w:tc>
        <w:tc>
          <w:tcPr>
            <w:tcW w:w="20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HK$</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10,465,888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16,485,774</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2,102,777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on behalf of clients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113,398,356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114,781,186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14,640,460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106,405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6,688,871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6,517,535</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831,318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507,767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535,986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68,366</w:t>
            </w:r>
          </w:p>
        </w:tc>
        <w:tc>
          <w:tcPr>
            <w:tcW w:w="0" w:type="dxa"/>
            <w:vAlign w:val="bottom"/>
          </w:tcPr>
          <w:p>
            <w:pPr>
              <w:spacing w:after="0"/>
              <w:rPr>
                <w:sz w:val="1"/>
                <w:szCs w:val="1"/>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and advances-current (net of allowance of HK$374,604 thousand and</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HK$441,152 thousand as of December 31, 2025 and March 31, 2026, respectively)</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64,607,370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73,685,339</w:t>
            </w:r>
          </w:p>
        </w:tc>
        <w:tc>
          <w:tcPr>
            <w:tcW w:w="5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9,398,640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Clients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838,521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758,288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96,720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18,459,373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18,688,930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2,383,792</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Clearing organizations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5,522,472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6,204,482</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791,388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management companies and fund distributors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1,997,086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1,655,735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211,191</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852,186</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918,083</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117,102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6,780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77,960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140,665</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225,478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366,894</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46,798</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223,650,618</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240,851,389</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30,720,842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569,939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570,293</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72,741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615,220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657,609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83,879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Loans and advances-non-current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139,668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106,618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3,461,431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4,130,762</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526,882</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4,786,258</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5,465,282</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697,101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228,436,876</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246,316,671</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31,417,943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32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FUTU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220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HK$</w:t>
            </w:r>
          </w:p>
        </w:tc>
        <w:tc>
          <w:tcPr>
            <w:tcW w:w="20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HK$</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67,143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106,074</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w:t>
            </w:r>
          </w:p>
        </w:tc>
        <w:tc>
          <w:tcPr>
            <w:tcW w:w="1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Clients</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125,249,957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126,826,924</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16,176,904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38,678,396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44,453,958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5,670,148</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Clearing organizations</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750,964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2,527,818</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322,426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management companies and fund distributors</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1,277,467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1,458,619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186,048</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62,527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72,507</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12,143,237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15,708,151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2,003,591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4,743,096</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6,198,116</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790,576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liabilities-current</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200,089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204,915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26,137</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4,527,129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6,839,824</w:t>
            </w: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872,425</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187,700,005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204,396,906</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26,071,033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liabilities-non-current</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393,843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395,629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50,463</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21,906</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34,070</w:t>
            </w: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415,749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429,699</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188,115,754</w:t>
            </w:r>
          </w:p>
        </w:tc>
        <w:tc>
          <w:tcPr>
            <w:tcW w:w="2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204,826,605</w:t>
            </w:r>
          </w:p>
        </w:tc>
        <w:tc>
          <w:tcPr>
            <w:tcW w:w="2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26,125,842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19,158,175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14,048,566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1,791,909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3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(5,199,257)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51,503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303,508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38,713</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25,990,667</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26,841,217</w:t>
            </w: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3,423,624</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40,001,188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41,193,379</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5,254,257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319,934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296,687</w:t>
            </w: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37,844</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40,321,122</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41,490,066</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5,292,101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228,436,876</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246,316,671</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31,417,943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FUTU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2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320" w:type="dxa"/>
            <w:vAlign w:val="bottom"/>
          </w:tcPr>
          <w:p>
            <w:pPr>
              <w:spacing w:after="0"/>
              <w:rPr>
                <w:sz w:val="16"/>
                <w:szCs w:val="16"/>
                <w:color w:val="auto"/>
              </w:rPr>
            </w:pPr>
          </w:p>
        </w:tc>
        <w:tc>
          <w:tcPr>
            <w:tcW w:w="1700" w:type="dxa"/>
            <w:vAlign w:val="bottom"/>
            <w:gridSpan w:val="2"/>
          </w:tcPr>
          <w:p>
            <w:pPr>
              <w:jc w:val="right"/>
              <w:ind w:right="501"/>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920" w:type="dxa"/>
            <w:vAlign w:val="bottom"/>
            <w:gridSpan w:val="3"/>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HK$</w:t>
            </w:r>
          </w:p>
        </w:tc>
        <w:tc>
          <w:tcPr>
            <w:tcW w:w="24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HK$</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Brokerage commission and handling charge income</w:t>
            </w:r>
          </w:p>
        </w:tc>
        <w:tc>
          <w:tcPr>
            <w:tcW w:w="1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2,310,220</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2,641,434</w:t>
            </w:r>
          </w:p>
        </w:tc>
        <w:tc>
          <w:tcPr>
            <w:tcW w:w="26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336,918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2,070,469</w:t>
            </w: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2,650,234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338,040</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313,948</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564,322</w:t>
            </w:r>
          </w:p>
        </w:tc>
        <w:tc>
          <w:tcPr>
            <w:tcW w:w="26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71,980</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4,694,637</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5,855,990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commission and handling charge expenses</w:t>
            </w:r>
          </w:p>
        </w:tc>
        <w:tc>
          <w:tcPr>
            <w:tcW w:w="1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(143,505)</w:t>
            </w: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(164,474)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(469,333)</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(414,687)</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1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(136,115)</w:t>
            </w: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(170,120)</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(748,953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(749,281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(95,572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3,945,684</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5,106,709</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651,366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(385,979)</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(478,880)</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(61,082)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(459,202)</w:t>
            </w: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(556,751)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(71,014)</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(415,245)</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(540,917)</w:t>
            </w: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(68,995)</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(1,260,426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(1,576,548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(201,091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2,685,258</w:t>
            </w: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3,530,161</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450,275</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(20,598)</w:t>
            </w: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(2,133,424)</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(272,120)</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income tax expense and share of (loss)/gain from equity method</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2,664,660</w:t>
            </w: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1,396,737</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178,155</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(490,959)</w:t>
            </w:r>
          </w:p>
        </w:tc>
        <w:tc>
          <w:tcPr>
            <w:tcW w:w="16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(606,984)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(77,421)</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(loss)/gain from equity method investments</w:t>
            </w:r>
          </w:p>
        </w:tc>
        <w:tc>
          <w:tcPr>
            <w:tcW w:w="1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(30,997)</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41,232</w:t>
            </w:r>
          </w:p>
        </w:tc>
        <w:tc>
          <w:tcPr>
            <w:tcW w:w="26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2,142,704</w:t>
            </w:r>
          </w:p>
        </w:tc>
        <w:tc>
          <w:tcPr>
            <w:tcW w:w="16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830,985</w:t>
            </w:r>
          </w:p>
        </w:tc>
        <w:tc>
          <w:tcPr>
            <w:tcW w:w="260" w:type="dxa"/>
            <w:vAlign w:val="bottom"/>
          </w:tcPr>
          <w:p>
            <w:pPr>
              <w:spacing w:after="0"/>
              <w:rPr>
                <w:sz w:val="24"/>
                <w:szCs w:val="24"/>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105,993</w:t>
            </w:r>
          </w:p>
        </w:tc>
        <w:tc>
          <w:tcPr>
            <w:tcW w:w="0" w:type="dxa"/>
            <w:vAlign w:val="bottom"/>
          </w:tcPr>
          <w:p>
            <w:pPr>
              <w:spacing w:after="0"/>
              <w:rPr>
                <w:sz w:val="1"/>
                <w:szCs w:val="1"/>
                <w:color w:val="auto"/>
              </w:rPr>
            </w:pPr>
          </w:p>
        </w:tc>
      </w:tr>
      <w:tr>
        <w:trPr>
          <w:trHeight w:val="197"/>
        </w:trPr>
        <w:tc>
          <w:tcPr>
            <w:tcW w:w="6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shareholders of the Company</w:t>
            </w:r>
          </w:p>
        </w:tc>
        <w:tc>
          <w:tcPr>
            <w:tcW w:w="1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2,145,323</w:t>
            </w:r>
          </w:p>
        </w:tc>
        <w:tc>
          <w:tcPr>
            <w:tcW w:w="1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850,550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108,489</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(2,619)</w:t>
            </w: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(19,565)</w:t>
            </w: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2,142,704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830,985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2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FUTU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62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320" w:type="dxa"/>
            <w:vAlign w:val="bottom"/>
          </w:tcPr>
          <w:p>
            <w:pPr>
              <w:spacing w:after="0"/>
              <w:rPr>
                <w:sz w:val="16"/>
                <w:szCs w:val="16"/>
                <w:color w:val="auto"/>
              </w:rPr>
            </w:pPr>
          </w:p>
        </w:tc>
        <w:tc>
          <w:tcPr>
            <w:tcW w:w="170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920" w:type="dxa"/>
            <w:vAlign w:val="bottom"/>
            <w:gridSpan w:val="3"/>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HK$</w:t>
            </w:r>
          </w:p>
        </w:tc>
        <w:tc>
          <w:tcPr>
            <w:tcW w:w="240" w:type="dxa"/>
            <w:vAlign w:val="bottom"/>
          </w:tcPr>
          <w:p>
            <w:pPr>
              <w:spacing w:after="0"/>
              <w:rPr>
                <w:sz w:val="18"/>
                <w:szCs w:val="18"/>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HK$</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ordinary shareholders of the Company</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0.76</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income per</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1,113,426,758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1,121,453,268</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1,121,453,268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1,126,352,076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1,133,330,016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1,133,330,016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2,142,704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830,985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105,993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fair value of financial assets</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(12,158)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65,215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260,481</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33,225</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2,207,919</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1,079,308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 of the Company</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2,210,552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1,102,555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140,633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(2,633)</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(23,247)</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2,207,919</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1,079,308</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32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42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FUTU HOLDINGS LIMITED</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940" w:type="dxa"/>
            <w:vAlign w:val="bottom"/>
            <w:gridSpan w:val="7"/>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UNAUDITED RECONCILIATIONS OF NON-GAAP AND GAAP RESULTS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740" w:type="dxa"/>
            <w:vAlign w:val="bottom"/>
          </w:tcPr>
          <w:p>
            <w:pPr>
              <w:spacing w:after="0"/>
              <w:rPr>
                <w:sz w:val="24"/>
                <w:szCs w:val="24"/>
                <w:color w:val="auto"/>
              </w:rPr>
            </w:pPr>
          </w:p>
        </w:tc>
        <w:tc>
          <w:tcPr>
            <w:tcW w:w="42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20" w:type="dxa"/>
            <w:vAlign w:val="bottom"/>
            <w:tcBorders>
              <w:bottom w:val="single" w:sz="8" w:color="auto"/>
            </w:tcBorders>
            <w:gridSpan w:val="5"/>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0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920" w:type="dxa"/>
            <w:vAlign w:val="bottom"/>
            <w:gridSpan w:val="3"/>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p>
        </w:tc>
        <w:tc>
          <w:tcPr>
            <w:tcW w:w="40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209"/>
        </w:trPr>
        <w:tc>
          <w:tcPr>
            <w:tcW w:w="3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HK$</w:t>
            </w:r>
          </w:p>
        </w:tc>
        <w:tc>
          <w:tcPr>
            <w:tcW w:w="24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HK$</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2,142,704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830,985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105,993</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4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74,199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88,546</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11,294</w:t>
            </w: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5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2,216,903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919,531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to GAAP reconciling items have no income tax effect.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2026-05-28T05:29:30Z</dcterms:created>
  <dcterms:modified xsi:type="dcterms:W3CDTF">2026-05-28T05:29:30Z</dcterms:modified>
</cp:coreProperties>
</file>